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F" w:rsidRPr="00265E8F" w:rsidRDefault="00F766BF" w:rsidP="00AE63FF">
      <w:pPr>
        <w:pStyle w:val="paragraphstyle5"/>
        <w:spacing w:line="326" w:lineRule="atLeast"/>
        <w:jc w:val="both"/>
        <w:rPr>
          <w:color w:val="333333"/>
          <w:sz w:val="28"/>
          <w:szCs w:val="28"/>
        </w:rPr>
      </w:pPr>
      <w:r w:rsidRPr="00265E8F">
        <w:rPr>
          <w:rStyle w:val="style2"/>
          <w:color w:val="333333"/>
          <w:sz w:val="28"/>
          <w:szCs w:val="28"/>
        </w:rPr>
        <w:t>НАЙВАЖЛИВІШІ ПРАЦІ: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Геодезично-топографічні дослідження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ранньо-слов’янських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поселень // Населення Прутсько-Дністровського межиріччя та суміжних територій. – Чернівці, 1994. – С. 28–30.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Генезис прикарпатських городищ VIII–Х ст. з позицій полісної структури суспільства // Еволюція розвитку слов’янських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градів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VIII–ХIV ст. у передгір’ї Карпат і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Татр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>. – Львів, 1994. – С. 9–14.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Східнослов'янське житло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Х–початку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XI ст. в Українському Прикарпатті // Матеріали і дослідження з археології Прикарпаття і Волині. – 1995. – Вип. 6. – С. 219–233.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Дослідження стародавнього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Пліснеська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у 1990 р. //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Волино-подільські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археологічні студії. – Львів, 1998. – С. 256–279.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Пліснеський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археологічний комплекс (стан і перспективи дослідження) //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Волино-подільські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археологічні студії. – Львів, 1998. – С. 279–286.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Про початки формування державних структур в українському Прикарпатті // Галич і Галицька земля в державотворчих процесах. –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Івано-Франківськ-Галич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>, 1998. – С. 48–56.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Слов’янські поселення українського Прикарпаття у другій половині І тис. н. е.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Стільсько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і його округа // Миколаївщина. – Львів, 1998. – С. 80–104.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 xml:space="preserve">Топографія пам’яток культури типу Луки </w:t>
      </w:r>
      <w:proofErr w:type="spellStart"/>
      <w:r w:rsidR="00F766BF" w:rsidRPr="00265E8F">
        <w:rPr>
          <w:rStyle w:val="style2"/>
          <w:color w:val="333333"/>
          <w:sz w:val="28"/>
          <w:szCs w:val="28"/>
        </w:rPr>
        <w:t>Райковецької</w:t>
      </w:r>
      <w:proofErr w:type="spellEnd"/>
      <w:r w:rsidR="00F766BF" w:rsidRPr="00265E8F">
        <w:rPr>
          <w:rStyle w:val="style2"/>
          <w:color w:val="333333"/>
          <w:sz w:val="28"/>
          <w:szCs w:val="28"/>
        </w:rPr>
        <w:t xml:space="preserve"> у Прикарпатті // Етнокультурні процеси в Південно-Східній Європі в І тис. н. е. – Львів-Київ, 1999. – С. 308–318.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>Дослідження городищ у Верхньому Подністров'ї // Львівський археологічний вісник. – Львів, 1999. – С. 85–97.</w:t>
      </w:r>
    </w:p>
    <w:p w:rsidR="00F766BF" w:rsidRPr="00265E8F" w:rsidRDefault="003B66A9" w:rsidP="00AE63FF">
      <w:pPr>
        <w:pStyle w:val="paragraphstyle6"/>
        <w:numPr>
          <w:ilvl w:val="0"/>
          <w:numId w:val="1"/>
        </w:numPr>
        <w:spacing w:line="326" w:lineRule="atLeast"/>
        <w:jc w:val="both"/>
        <w:rPr>
          <w:rStyle w:val="style2"/>
          <w:color w:val="333333"/>
          <w:sz w:val="28"/>
          <w:szCs w:val="28"/>
        </w:rPr>
      </w:pPr>
      <w:proofErr w:type="spellStart"/>
      <w:r w:rsidRPr="00265E8F">
        <w:rPr>
          <w:iCs/>
          <w:color w:val="252525"/>
          <w:sz w:val="28"/>
          <w:szCs w:val="28"/>
        </w:rPr>
        <w:t>Филипчук</w:t>
      </w:r>
      <w:proofErr w:type="spellEnd"/>
      <w:r w:rsidRPr="00265E8F">
        <w:rPr>
          <w:iCs/>
          <w:color w:val="252525"/>
          <w:sz w:val="28"/>
          <w:szCs w:val="28"/>
        </w:rPr>
        <w:t xml:space="preserve"> М.</w:t>
      </w:r>
      <w:r w:rsidRPr="00265E8F">
        <w:rPr>
          <w:color w:val="252525"/>
          <w:sz w:val="28"/>
          <w:szCs w:val="28"/>
        </w:rPr>
        <w:t xml:space="preserve">, </w:t>
      </w:r>
      <w:r w:rsidR="00F766BF" w:rsidRPr="00265E8F">
        <w:rPr>
          <w:rStyle w:val="style2"/>
          <w:color w:val="333333"/>
          <w:sz w:val="28"/>
          <w:szCs w:val="28"/>
        </w:rPr>
        <w:t>Проблема періодизації і хронології слов’янських старожитностей другої половини І тис н. е. в українському Прикарпатті // Середньовічна Європа: погляд з кінця XX ст. – Чернівці, 2000. – С. 36–46.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Оборонні споруди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Пліснеська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// Стародавній Іс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коростень і слов'янські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гради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. – 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Коростень, 2008. – Том. 2. – С. 220–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229.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Природно-топографічні умови розташування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Пліснеська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// Праці Науково-дослідного інституту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пам'яткоохоронних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досліджень. – Вип. 4. – К., 2008. – С. 225–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238.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Структура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в слов'янський та давньоруський час /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/ Вісник Інституту археології. –  2009. –  Вип.4. – 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21.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Літописний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у світлі нових археологічних досліджень // «Слово о полку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Ігоревім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» як пам'ятка української літератури (до 80-річчя написання твору).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Матер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. наук.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конф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. (Львів, 6 грудня 2007 року).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="003B66A9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uk-UA"/>
        </w:rPr>
        <w:t xml:space="preserve"> </w:t>
      </w:r>
      <w:hyperlink r:id="rId5" w:tooltip="Львів" w:history="1">
        <w:proofErr w:type="spellStart"/>
        <w:r w:rsidRPr="003B66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Львів</w:t>
        </w:r>
      </w:hyperlink>
      <w:r w:rsidRPr="00265E8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hyperlink r:id="rId6" w:tooltip="Дрогобич" w:history="1">
        <w:r w:rsidRPr="003B66A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Дрогобич</w:t>
        </w:r>
        <w:proofErr w:type="spellEnd"/>
      </w:hyperlink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, 2011.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170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171.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, Слов'янські поселення VІІІ–Х ст. в українському Прикарпатті.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Л., 2012.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Соловій Г. В.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До питання про ритуальні поховання в межах «жертовного поясу» культового місця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археологічного комплексу (за матеріалами досліджень 2009 року) // Наукові записки Львівського історичного музею.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15.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2012. 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24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-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41.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М., Соловій Г.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Поховальні пам'ятки слов'янського часу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//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Studia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Mythologica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Slavica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2014. 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ХVІІ.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S. 37–56.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Попередні результати дослідження лінії захисту східної частини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ур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. Оленин Парк на території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2011. 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Вип.6.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172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200.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Попередні результати дослідження п'ятої лінії захисту (валу № 4)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у 2011 р.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 2012. 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7.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128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156.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Основні підсумки дослідження валу № 5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городища (сезони 2007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2009, 2012 рр.) //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Карпатика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42.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Ужгород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, 2013.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109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120.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Попередні результати дослідження лінії захисту № 4 (валу № 5)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у 2012 р.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2013. 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8.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– 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С. 168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186.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Дослідження лінії захисту № 4 (валу № 5)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у 2008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2009 рр.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Л., 2014.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9.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С. 114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117.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М. А.,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А. М.,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Завітій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Б. І.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Результати суцільних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розвідкових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робіт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Пліснеської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археологічної експедиції на території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Золочівського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району у 2011 році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Л., 2012.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7.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107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127.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Филипчук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М, </w:t>
      </w: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Шуй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Н.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Могильники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Пліснеського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археологічного комплексу як джерело до вивчення етнокультурних взаємовпливів на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мікрорегіональному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рівні // Вісник Інституту археології.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2006. 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Вип. 1.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С. 71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-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85.</w:t>
      </w:r>
    </w:p>
    <w:p w:rsidR="00265E8F" w:rsidRPr="00265E8F" w:rsidRDefault="00265E8F" w:rsidP="00AE63FF">
      <w:pPr>
        <w:numPr>
          <w:ilvl w:val="0"/>
          <w:numId w:val="1"/>
        </w:numPr>
        <w:shd w:val="clear" w:color="auto" w:fill="FFFFFF"/>
        <w:spacing w:before="100" w:beforeAutospacing="1" w:after="24" w:line="30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proofErr w:type="spellStart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>Fylyptscuk</w:t>
      </w:r>
      <w:proofErr w:type="spellEnd"/>
      <w:r w:rsidRPr="00265E8F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uk-UA"/>
        </w:rPr>
        <w:t xml:space="preserve"> M.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Der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archäologishe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Komplex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von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Plisnesko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//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Mezi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raným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a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vrcholným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stredovekěm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.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Pavlu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Kouřilovi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k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šedesátým</w:t>
      </w:r>
      <w:proofErr w:type="spellEnd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naroz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enám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přátelé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kolegové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žáci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. –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uk-UA"/>
        </w:rPr>
        <w:t>Brno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, 2012. – S. 235</w:t>
      </w:r>
      <w:r w:rsidRPr="00AE63F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-</w:t>
      </w:r>
      <w:r w:rsidRPr="00265E8F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250.</w:t>
      </w:r>
    </w:p>
    <w:p w:rsidR="00265E8F" w:rsidRPr="00265E8F" w:rsidRDefault="00265E8F" w:rsidP="00AE63FF">
      <w:pPr>
        <w:pStyle w:val="paragraphstyle6"/>
        <w:spacing w:line="326" w:lineRule="atLeast"/>
        <w:ind w:left="360"/>
        <w:jc w:val="both"/>
        <w:rPr>
          <w:color w:val="333333"/>
          <w:sz w:val="28"/>
          <w:szCs w:val="28"/>
        </w:rPr>
      </w:pPr>
    </w:p>
    <w:p w:rsidR="00375011" w:rsidRPr="00265E8F" w:rsidRDefault="00375011" w:rsidP="00AE6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3FF" w:rsidRPr="00265E8F" w:rsidRDefault="00AE6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3FF" w:rsidRPr="00265E8F" w:rsidSect="00375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240"/>
    <w:multiLevelType w:val="multilevel"/>
    <w:tmpl w:val="346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F47F19"/>
    <w:multiLevelType w:val="multilevel"/>
    <w:tmpl w:val="A6F8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66BF"/>
    <w:rsid w:val="00265E8F"/>
    <w:rsid w:val="00375011"/>
    <w:rsid w:val="003B66A9"/>
    <w:rsid w:val="004B5CA6"/>
    <w:rsid w:val="00AE63FF"/>
    <w:rsid w:val="00F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5">
    <w:name w:val="paragraph_style_5"/>
    <w:basedOn w:val="a"/>
    <w:rsid w:val="00F7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yle2">
    <w:name w:val="style_2"/>
    <w:basedOn w:val="a0"/>
    <w:rsid w:val="00F766BF"/>
  </w:style>
  <w:style w:type="paragraph" w:customStyle="1" w:styleId="paragraphstyle6">
    <w:name w:val="paragraph_style_6"/>
    <w:basedOn w:val="a"/>
    <w:rsid w:val="00F7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65E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80%D0%BE%D0%B3%D0%BE%D0%B1%D0%B8%D1%87" TargetMode="External"/><Relationship Id="rId5" Type="http://schemas.openxmlformats.org/officeDocument/2006/relationships/hyperlink" Target="https://uk.wikipedia.org/wiki/%D0%9B%D1%8C%D0%B2%D1%96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2016-08-15T09:19:00Z</dcterms:created>
  <dcterms:modified xsi:type="dcterms:W3CDTF">2016-08-15T10:11:00Z</dcterms:modified>
</cp:coreProperties>
</file>