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6E" w:rsidRPr="002A07AF" w:rsidRDefault="00747B6E">
      <w:pPr>
        <w:rPr>
          <w:lang w:val="uk-UA"/>
        </w:rPr>
      </w:pPr>
    </w:p>
    <w:p w:rsidR="00764B86" w:rsidRPr="002A07AF" w:rsidRDefault="00764B86" w:rsidP="00764B86">
      <w:pPr>
        <w:jc w:val="center"/>
        <w:rPr>
          <w:b/>
          <w:color w:val="auto"/>
          <w:lang w:val="uk-UA"/>
        </w:rPr>
      </w:pPr>
      <w:proofErr w:type="spellStart"/>
      <w:r w:rsidRPr="002A07AF">
        <w:rPr>
          <w:b/>
          <w:color w:val="auto"/>
          <w:lang w:val="uk-UA"/>
        </w:rPr>
        <w:t>Силабус</w:t>
      </w:r>
      <w:proofErr w:type="spellEnd"/>
      <w:r w:rsidRPr="002A07AF">
        <w:rPr>
          <w:b/>
          <w:color w:val="auto"/>
          <w:lang w:val="uk-UA"/>
        </w:rPr>
        <w:t xml:space="preserve"> курсу </w:t>
      </w:r>
      <w:proofErr w:type="spellStart"/>
      <w:r w:rsidR="00D27DFC">
        <w:rPr>
          <w:b/>
          <w:color w:val="auto"/>
          <w:lang w:val="uk-UA"/>
        </w:rPr>
        <w:t>“</w:t>
      </w:r>
      <w:r w:rsidR="00D27DFC" w:rsidRPr="00D27DFC">
        <w:rPr>
          <w:b/>
          <w:lang w:val="uk-UA"/>
        </w:rPr>
        <w:t>Етнічна</w:t>
      </w:r>
      <w:proofErr w:type="spellEnd"/>
      <w:r w:rsidR="00D27DFC" w:rsidRPr="00D27DFC">
        <w:rPr>
          <w:b/>
          <w:lang w:val="uk-UA"/>
        </w:rPr>
        <w:t xml:space="preserve"> структура українського суспільства</w:t>
      </w:r>
      <w:r w:rsidR="00D27DFC">
        <w:rPr>
          <w:b/>
          <w:lang w:val="uk-UA"/>
        </w:rPr>
        <w:t>”</w:t>
      </w:r>
    </w:p>
    <w:p w:rsidR="00764B86" w:rsidRPr="002A07AF" w:rsidRDefault="003D4DCD" w:rsidP="00764B86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2019–2020 </w:t>
      </w:r>
      <w:r w:rsidR="00764B86" w:rsidRPr="002A07AF">
        <w:rPr>
          <w:b/>
          <w:color w:val="auto"/>
          <w:lang w:val="uk-UA"/>
        </w:rPr>
        <w:t>навчального року</w:t>
      </w:r>
    </w:p>
    <w:p w:rsidR="00764B86" w:rsidRPr="002A07AF" w:rsidRDefault="00764B86" w:rsidP="00764B86">
      <w:pPr>
        <w:jc w:val="center"/>
        <w:rPr>
          <w:b/>
          <w:color w:val="auto"/>
          <w:lang w:val="uk-UA"/>
        </w:rPr>
      </w:pPr>
    </w:p>
    <w:p w:rsidR="00764B86" w:rsidRPr="002A07AF" w:rsidRDefault="00764B86" w:rsidP="00764B86">
      <w:pPr>
        <w:rPr>
          <w:color w:val="auto"/>
          <w:lang w:val="uk-UA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764B86" w:rsidRPr="002A07AF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 xml:space="preserve"> </w:t>
            </w:r>
            <w:r w:rsidRPr="002A07AF">
              <w:rPr>
                <w:lang w:val="uk-UA"/>
              </w:rPr>
              <w:t>Етнічна структура українського суспільства</w:t>
            </w:r>
          </w:p>
        </w:tc>
      </w:tr>
      <w:tr w:rsidR="00764B86" w:rsidRPr="003D4DCD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Львівський національний університет імені Івана Франка</w:t>
            </w:r>
          </w:p>
        </w:tc>
      </w:tr>
      <w:tr w:rsidR="00764B86" w:rsidRPr="002A07AF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історичний факультет, кафедра етнології</w:t>
            </w:r>
          </w:p>
        </w:tc>
      </w:tr>
      <w:tr w:rsidR="00764B86" w:rsidRPr="003D4DCD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03 – гуманітарні науки, 032 –історія та археологія</w:t>
            </w:r>
          </w:p>
        </w:tc>
      </w:tr>
      <w:tr w:rsidR="00764B86" w:rsidRPr="003D4DCD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 w:eastAsia="uk-UA"/>
              </w:rPr>
            </w:pPr>
            <w:r w:rsidRPr="002A07AF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764B86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Рачковський Григорій В'ячеславович, кандидат історичних наук, доцент</w:t>
            </w:r>
          </w:p>
        </w:tc>
      </w:tr>
      <w:tr w:rsidR="00764B86" w:rsidRPr="003D4DCD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 w:eastAsia="uk-UA"/>
              </w:rPr>
            </w:pPr>
            <w:r w:rsidRPr="002A07AF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3034B3" w:rsidP="004E2A61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2A07AF">
              <w:rPr>
                <w:color w:val="auto"/>
                <w:lang w:val="uk-UA"/>
              </w:rPr>
              <w:t>hryhorij</w:t>
            </w:r>
            <w:proofErr w:type="spellEnd"/>
            <w:r w:rsidRPr="002A07AF">
              <w:rPr>
                <w:color w:val="auto"/>
                <w:lang w:val="uk-UA"/>
              </w:rPr>
              <w:t>_ra@</w:t>
            </w:r>
            <w:proofErr w:type="spellStart"/>
            <w:r w:rsidRPr="002A07AF">
              <w:rPr>
                <w:color w:val="auto"/>
                <w:lang w:val="uk-UA"/>
              </w:rPr>
              <w:t>yahoo.com</w:t>
            </w:r>
            <w:proofErr w:type="spellEnd"/>
            <w:r w:rsidR="00764B86" w:rsidRPr="002A07AF">
              <w:rPr>
                <w:color w:val="auto"/>
                <w:lang w:val="uk-UA"/>
              </w:rPr>
              <w:t xml:space="preserve">, </w:t>
            </w:r>
            <w:r w:rsidRPr="002A07AF">
              <w:rPr>
                <w:color w:val="auto"/>
                <w:lang w:val="uk-UA"/>
              </w:rPr>
              <w:t>http://clio.lnu.edu.ua/employee/rachkovskyj-h-v</w:t>
            </w:r>
          </w:p>
        </w:tc>
      </w:tr>
      <w:tr w:rsidR="00764B86" w:rsidRPr="003D4DCD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3034B3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 xml:space="preserve">Консультації в день проведення лекцій/практичних занять (за попередньою домовленістю). </w:t>
            </w:r>
          </w:p>
        </w:tc>
      </w:tr>
      <w:tr w:rsidR="00764B86" w:rsidRPr="002A07AF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both"/>
              <w:rPr>
                <w:color w:val="auto"/>
                <w:lang w:val="uk-UA"/>
              </w:rPr>
            </w:pPr>
          </w:p>
        </w:tc>
      </w:tr>
      <w:tr w:rsidR="00764B86" w:rsidRPr="002A07AF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F4" w:rsidRPr="002A07AF" w:rsidRDefault="00764B86" w:rsidP="00DE60F4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D46207" w:rsidRPr="002A07AF">
              <w:rPr>
                <w:color w:val="auto"/>
                <w:lang w:val="uk-UA"/>
              </w:rPr>
              <w:t>використовувати на практиці навички концептуалізації, створ</w:t>
            </w:r>
            <w:r w:rsidR="00DE60F4" w:rsidRPr="002A07AF">
              <w:rPr>
                <w:color w:val="auto"/>
                <w:lang w:val="uk-UA"/>
              </w:rPr>
              <w:t xml:space="preserve">ювати </w:t>
            </w:r>
            <w:r w:rsidR="00D46207" w:rsidRPr="002A07AF">
              <w:rPr>
                <w:color w:val="auto"/>
                <w:lang w:val="uk-UA"/>
              </w:rPr>
              <w:t>власн</w:t>
            </w:r>
            <w:r w:rsidR="00DE60F4" w:rsidRPr="002A07AF">
              <w:rPr>
                <w:color w:val="auto"/>
                <w:lang w:val="uk-UA"/>
              </w:rPr>
              <w:t>і</w:t>
            </w:r>
            <w:r w:rsidR="00D46207" w:rsidRPr="002A07AF">
              <w:rPr>
                <w:color w:val="auto"/>
                <w:lang w:val="uk-UA"/>
              </w:rPr>
              <w:t xml:space="preserve"> інтерпретаційн</w:t>
            </w:r>
            <w:r w:rsidR="00DE60F4" w:rsidRPr="002A07AF">
              <w:rPr>
                <w:color w:val="auto"/>
                <w:lang w:val="uk-UA"/>
              </w:rPr>
              <w:t>і</w:t>
            </w:r>
            <w:r w:rsidR="00D46207" w:rsidRPr="002A07AF">
              <w:rPr>
                <w:color w:val="auto"/>
                <w:lang w:val="uk-UA"/>
              </w:rPr>
              <w:t xml:space="preserve"> модел</w:t>
            </w:r>
            <w:r w:rsidR="00DE60F4" w:rsidRPr="002A07AF">
              <w:rPr>
                <w:color w:val="auto"/>
                <w:lang w:val="uk-UA"/>
              </w:rPr>
              <w:t>і</w:t>
            </w:r>
            <w:r w:rsidR="00D46207" w:rsidRPr="002A07AF">
              <w:rPr>
                <w:color w:val="auto"/>
                <w:lang w:val="uk-UA"/>
              </w:rPr>
              <w:t>, аргументован</w:t>
            </w:r>
            <w:r w:rsidR="00DE60F4" w:rsidRPr="002A07AF">
              <w:rPr>
                <w:color w:val="auto"/>
                <w:lang w:val="uk-UA"/>
              </w:rPr>
              <w:t>о</w:t>
            </w:r>
            <w:r w:rsidR="00D46207" w:rsidRPr="002A07AF">
              <w:rPr>
                <w:color w:val="auto"/>
                <w:lang w:val="uk-UA"/>
              </w:rPr>
              <w:t xml:space="preserve"> презент</w:t>
            </w:r>
            <w:r w:rsidR="00DE60F4" w:rsidRPr="002A07AF">
              <w:rPr>
                <w:color w:val="auto"/>
                <w:lang w:val="uk-UA"/>
              </w:rPr>
              <w:t xml:space="preserve">увати </w:t>
            </w:r>
            <w:r w:rsidR="00D46207" w:rsidRPr="002A07AF">
              <w:rPr>
                <w:color w:val="auto"/>
                <w:lang w:val="uk-UA"/>
              </w:rPr>
              <w:t>та захи</w:t>
            </w:r>
            <w:r w:rsidR="00DE60F4" w:rsidRPr="002A07AF">
              <w:rPr>
                <w:color w:val="auto"/>
                <w:lang w:val="uk-UA"/>
              </w:rPr>
              <w:t xml:space="preserve">щати </w:t>
            </w:r>
            <w:r w:rsidR="00D46207" w:rsidRPr="002A07AF">
              <w:rPr>
                <w:color w:val="auto"/>
                <w:lang w:val="uk-UA"/>
              </w:rPr>
              <w:t>власн</w:t>
            </w:r>
            <w:r w:rsidR="00DE60F4" w:rsidRPr="002A07AF">
              <w:rPr>
                <w:color w:val="auto"/>
                <w:lang w:val="uk-UA"/>
              </w:rPr>
              <w:t>у</w:t>
            </w:r>
            <w:r w:rsidR="00D46207" w:rsidRPr="002A07AF">
              <w:rPr>
                <w:color w:val="auto"/>
                <w:lang w:val="uk-UA"/>
              </w:rPr>
              <w:t xml:space="preserve"> позиці</w:t>
            </w:r>
            <w:r w:rsidR="00DE60F4" w:rsidRPr="002A07AF">
              <w:rPr>
                <w:color w:val="auto"/>
                <w:lang w:val="uk-UA"/>
              </w:rPr>
              <w:t>ю</w:t>
            </w:r>
            <w:r w:rsidR="00D46207" w:rsidRPr="002A07AF">
              <w:rPr>
                <w:color w:val="auto"/>
                <w:lang w:val="uk-UA"/>
              </w:rPr>
              <w:t xml:space="preserve"> перед аудиторією</w:t>
            </w:r>
            <w:r w:rsidR="00DE60F4" w:rsidRPr="002A07AF">
              <w:rPr>
                <w:color w:val="auto"/>
                <w:lang w:val="uk-UA"/>
              </w:rPr>
              <w:t xml:space="preserve">. </w:t>
            </w:r>
            <w:r w:rsidRPr="002A07AF">
              <w:rPr>
                <w:color w:val="auto"/>
                <w:lang w:val="uk-UA"/>
              </w:rPr>
              <w:t xml:space="preserve">Тому у курсі представлено як огляд концепцій </w:t>
            </w:r>
            <w:proofErr w:type="spellStart"/>
            <w:r w:rsidR="00DE60F4" w:rsidRPr="002A07AF">
              <w:rPr>
                <w:color w:val="auto"/>
                <w:lang w:val="uk-UA"/>
              </w:rPr>
              <w:t>поліваріантної</w:t>
            </w:r>
            <w:proofErr w:type="spellEnd"/>
            <w:r w:rsidR="00DE60F4" w:rsidRPr="002A07AF">
              <w:rPr>
                <w:color w:val="auto"/>
                <w:lang w:val="uk-UA"/>
              </w:rPr>
              <w:t xml:space="preserve"> та компаративістичної інтерпретації </w:t>
            </w:r>
            <w:proofErr w:type="spellStart"/>
            <w:r w:rsidR="00DE60F4" w:rsidRPr="002A07AF">
              <w:rPr>
                <w:color w:val="auto"/>
                <w:lang w:val="uk-UA"/>
              </w:rPr>
              <w:t>соціо-культурних</w:t>
            </w:r>
            <w:proofErr w:type="spellEnd"/>
            <w:r w:rsidR="00DE60F4" w:rsidRPr="002A07AF">
              <w:rPr>
                <w:color w:val="auto"/>
                <w:lang w:val="uk-UA"/>
              </w:rPr>
              <w:t xml:space="preserve"> явищ, зокрема, </w:t>
            </w:r>
            <w:proofErr w:type="spellStart"/>
            <w:r w:rsidR="00DE60F4" w:rsidRPr="002A07AF">
              <w:rPr>
                <w:color w:val="auto"/>
                <w:lang w:val="uk-UA"/>
              </w:rPr>
              <w:t>етнічності</w:t>
            </w:r>
            <w:proofErr w:type="spellEnd"/>
            <w:r w:rsidRPr="002A07AF">
              <w:rPr>
                <w:color w:val="auto"/>
                <w:lang w:val="uk-UA"/>
              </w:rPr>
              <w:t xml:space="preserve"> так і процесів та інструментів, які потрібні для </w:t>
            </w:r>
            <w:r w:rsidR="00DE60F4" w:rsidRPr="002A07AF">
              <w:rPr>
                <w:color w:val="auto"/>
                <w:lang w:val="uk-UA"/>
              </w:rPr>
              <w:t>уміння окресл</w:t>
            </w:r>
            <w:r w:rsidR="00D34906" w:rsidRPr="002A07AF">
              <w:rPr>
                <w:color w:val="auto"/>
                <w:lang w:val="uk-UA"/>
              </w:rPr>
              <w:t>ення</w:t>
            </w:r>
            <w:r w:rsidR="00DE60F4" w:rsidRPr="002A07AF">
              <w:rPr>
                <w:color w:val="auto"/>
                <w:lang w:val="uk-UA"/>
              </w:rPr>
              <w:t xml:space="preserve"> пол</w:t>
            </w:r>
            <w:r w:rsidR="00D34906" w:rsidRPr="002A07AF">
              <w:rPr>
                <w:color w:val="auto"/>
                <w:lang w:val="uk-UA"/>
              </w:rPr>
              <w:t>я</w:t>
            </w:r>
            <w:r w:rsidR="00DE60F4" w:rsidRPr="002A07AF">
              <w:rPr>
                <w:color w:val="auto"/>
                <w:lang w:val="uk-UA"/>
              </w:rPr>
              <w:t xml:space="preserve"> дискусій навколо дефініції термінів “етнос”, “нація”, </w:t>
            </w:r>
            <w:proofErr w:type="spellStart"/>
            <w:r w:rsidR="00DE60F4" w:rsidRPr="002A07AF">
              <w:rPr>
                <w:color w:val="auto"/>
                <w:lang w:val="uk-UA"/>
              </w:rPr>
              <w:t>“народ”</w:t>
            </w:r>
            <w:proofErr w:type="spellEnd"/>
            <w:r w:rsidR="00DE60F4" w:rsidRPr="002A07AF">
              <w:rPr>
                <w:color w:val="auto"/>
                <w:lang w:val="uk-UA"/>
              </w:rPr>
              <w:t xml:space="preserve">, </w:t>
            </w:r>
            <w:proofErr w:type="spellStart"/>
            <w:r w:rsidR="00DE60F4" w:rsidRPr="002A07AF">
              <w:rPr>
                <w:color w:val="auto"/>
                <w:lang w:val="uk-UA"/>
              </w:rPr>
              <w:t>“раса”</w:t>
            </w:r>
            <w:proofErr w:type="spellEnd"/>
            <w:r w:rsidR="00DE60F4" w:rsidRPr="002A07AF">
              <w:rPr>
                <w:color w:val="auto"/>
                <w:lang w:val="uk-UA"/>
              </w:rPr>
              <w:t xml:space="preserve"> та </w:t>
            </w:r>
            <w:proofErr w:type="spellStart"/>
            <w:r w:rsidR="00DE60F4" w:rsidRPr="002A07AF">
              <w:rPr>
                <w:color w:val="auto"/>
                <w:lang w:val="uk-UA"/>
              </w:rPr>
              <w:t>дефініювати</w:t>
            </w:r>
            <w:proofErr w:type="spellEnd"/>
            <w:r w:rsidR="00DE60F4" w:rsidRPr="002A07AF">
              <w:rPr>
                <w:color w:val="auto"/>
                <w:lang w:val="uk-UA"/>
              </w:rPr>
              <w:t xml:space="preserve"> такі категорії як “етнічна група”, “етнографічна група”, “етнічна меншина”</w:t>
            </w:r>
            <w:r w:rsidR="00D34906" w:rsidRPr="002A07AF">
              <w:rPr>
                <w:color w:val="auto"/>
                <w:lang w:val="uk-UA"/>
              </w:rPr>
              <w:t>, "корінний народ", "національна меншина"</w:t>
            </w:r>
            <w:r w:rsidR="00DE60F4" w:rsidRPr="002A07AF">
              <w:rPr>
                <w:color w:val="auto"/>
                <w:lang w:val="uk-UA"/>
              </w:rPr>
              <w:t>.</w:t>
            </w:r>
            <w:r w:rsidR="00D34906" w:rsidRPr="002A07AF">
              <w:rPr>
                <w:color w:val="auto"/>
                <w:lang w:val="uk-UA"/>
              </w:rPr>
              <w:t xml:space="preserve"> </w:t>
            </w:r>
          </w:p>
          <w:p w:rsidR="00764B86" w:rsidRPr="002A07AF" w:rsidRDefault="00764B86" w:rsidP="00DE60F4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 xml:space="preserve">. </w:t>
            </w:r>
          </w:p>
        </w:tc>
      </w:tr>
      <w:tr w:rsidR="00764B86" w:rsidRPr="002A07AF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DE60F4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Дисципліна «</w:t>
            </w:r>
            <w:r w:rsidR="00DE60F4" w:rsidRPr="002A07AF">
              <w:rPr>
                <w:lang w:val="uk-UA"/>
              </w:rPr>
              <w:t>Етнічна структура українського суспільства</w:t>
            </w:r>
            <w:r w:rsidRPr="002A07AF">
              <w:rPr>
                <w:color w:val="auto"/>
                <w:lang w:val="uk-UA"/>
              </w:rPr>
              <w:t xml:space="preserve">» є завершальною вибірковою дисципліною з спеціальності </w:t>
            </w:r>
            <w:r w:rsidR="00DE60F4" w:rsidRPr="002A07AF">
              <w:rPr>
                <w:color w:val="auto"/>
                <w:lang w:val="uk-UA"/>
              </w:rPr>
              <w:t xml:space="preserve">032 історія та археологія, спеціалізації «етнологія» </w:t>
            </w:r>
            <w:r w:rsidRPr="002A07AF">
              <w:rPr>
                <w:color w:val="auto"/>
                <w:lang w:val="uk-UA"/>
              </w:rPr>
              <w:t>для освітньої програми</w:t>
            </w:r>
            <w:r w:rsidR="00DE60F4" w:rsidRPr="002A07AF">
              <w:rPr>
                <w:color w:val="auto"/>
                <w:lang w:val="uk-UA"/>
              </w:rPr>
              <w:t xml:space="preserve"> </w:t>
            </w:r>
            <w:r w:rsidR="00DE60F4" w:rsidRPr="002A07AF">
              <w:rPr>
                <w:b/>
                <w:lang w:val="uk-UA"/>
              </w:rPr>
              <w:t>аспірантури</w:t>
            </w:r>
            <w:r w:rsidRPr="002A07AF">
              <w:rPr>
                <w:color w:val="auto"/>
                <w:lang w:val="uk-UA"/>
              </w:rPr>
              <w:t xml:space="preserve">, яка викладається в </w:t>
            </w:r>
            <w:r w:rsidR="00DE60F4" w:rsidRPr="002A07AF">
              <w:rPr>
                <w:color w:val="auto"/>
                <w:lang w:val="uk-UA"/>
              </w:rPr>
              <w:t xml:space="preserve">4 </w:t>
            </w:r>
            <w:r w:rsidRPr="002A07AF">
              <w:rPr>
                <w:color w:val="auto"/>
                <w:lang w:val="uk-UA"/>
              </w:rPr>
              <w:t xml:space="preserve">семестрі в обсязі </w:t>
            </w:r>
            <w:r w:rsidR="00DE60F4" w:rsidRPr="002A07AF">
              <w:rPr>
                <w:color w:val="auto"/>
                <w:lang w:val="uk-UA"/>
              </w:rPr>
              <w:t xml:space="preserve">3 </w:t>
            </w:r>
            <w:r w:rsidRPr="002A07AF">
              <w:rPr>
                <w:color w:val="auto"/>
                <w:lang w:val="uk-UA"/>
              </w:rPr>
              <w:t>кредитів (за Європейською Кредитно-Трансферною Системою ECTS).</w:t>
            </w:r>
          </w:p>
        </w:tc>
      </w:tr>
      <w:tr w:rsidR="00764B86" w:rsidRPr="003D4DCD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2A07AF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Метою вивчення вибіркової дисципліни «</w:t>
            </w:r>
            <w:r w:rsidR="00DE60F4" w:rsidRPr="002A07AF">
              <w:rPr>
                <w:color w:val="auto"/>
                <w:lang w:val="uk-UA"/>
              </w:rPr>
              <w:t>Етнічна структура українського суспільства</w:t>
            </w:r>
            <w:r w:rsidRPr="002A07AF">
              <w:rPr>
                <w:color w:val="auto"/>
                <w:lang w:val="uk-UA"/>
              </w:rPr>
              <w:t xml:space="preserve">» є ознайомлення </w:t>
            </w:r>
            <w:r w:rsidR="002A07AF" w:rsidRPr="002A07AF">
              <w:rPr>
                <w:color w:val="auto"/>
                <w:lang w:val="uk-UA"/>
              </w:rPr>
              <w:t>аспірантів</w:t>
            </w:r>
            <w:r w:rsidRPr="002A07AF">
              <w:rPr>
                <w:color w:val="auto"/>
                <w:lang w:val="uk-UA"/>
              </w:rPr>
              <w:t xml:space="preserve"> із завданнями </w:t>
            </w:r>
            <w:r w:rsidR="00DE60F4" w:rsidRPr="002A07AF">
              <w:rPr>
                <w:color w:val="auto"/>
                <w:lang w:val="uk-UA"/>
              </w:rPr>
              <w:t xml:space="preserve">формування необхідних теоретичних знань і практичних навиків для дослідження етнічної структури українського соціуму в його історичному розвитку; аналізу історії та сучасного стану головних національних меншин (росіян, білорусів, угорців, румунів, молдаван поляків та ін.) та корінних етносів (кримських татар) на території України; понятійного окреслення таких етнічних спільнот, як караїми та гагаузи; трактування даних переписів населення українських земель кінця ХІХ – початку ХХІ ст. </w:t>
            </w:r>
            <w:r w:rsidRPr="002A07AF">
              <w:rPr>
                <w:color w:val="auto"/>
                <w:lang w:val="uk-UA"/>
              </w:rPr>
              <w:t xml:space="preserve"> для  оволодіння сучасними підходами та інструментами для їх вирішення.</w:t>
            </w:r>
            <w:r w:rsidR="00D34906" w:rsidRPr="002A07AF">
              <w:rPr>
                <w:color w:val="auto"/>
                <w:lang w:val="uk-UA"/>
              </w:rPr>
              <w:t xml:space="preserve"> Розглянути широкий спектр методів дослідження етнічних процесів, де аналізуватимуться також методи дослідження таких явищ, як етнічні стереотипи, образ </w:t>
            </w:r>
            <w:proofErr w:type="spellStart"/>
            <w:r w:rsidR="00D34906" w:rsidRPr="002A07AF">
              <w:rPr>
                <w:color w:val="auto"/>
                <w:lang w:val="uk-UA"/>
              </w:rPr>
              <w:t>“чужого”</w:t>
            </w:r>
            <w:proofErr w:type="spellEnd"/>
            <w:r w:rsidR="00D34906" w:rsidRPr="002A07AF">
              <w:rPr>
                <w:color w:val="auto"/>
                <w:lang w:val="uk-UA"/>
              </w:rPr>
              <w:t xml:space="preserve">, </w:t>
            </w:r>
            <w:proofErr w:type="spellStart"/>
            <w:r w:rsidR="00D34906" w:rsidRPr="002A07AF">
              <w:rPr>
                <w:color w:val="auto"/>
                <w:lang w:val="uk-UA"/>
              </w:rPr>
              <w:t>етносоціальна</w:t>
            </w:r>
            <w:proofErr w:type="spellEnd"/>
            <w:r w:rsidR="00D34906" w:rsidRPr="002A07AF">
              <w:rPr>
                <w:color w:val="auto"/>
                <w:lang w:val="uk-UA"/>
              </w:rPr>
              <w:t xml:space="preserve"> дистанція, конструювання та </w:t>
            </w:r>
            <w:proofErr w:type="spellStart"/>
            <w:r w:rsidR="00D34906" w:rsidRPr="002A07AF">
              <w:rPr>
                <w:color w:val="auto"/>
                <w:lang w:val="uk-UA"/>
              </w:rPr>
              <w:t>деконструювання</w:t>
            </w:r>
            <w:proofErr w:type="spellEnd"/>
            <w:r w:rsidR="00D34906" w:rsidRPr="002A07AF">
              <w:rPr>
                <w:color w:val="auto"/>
                <w:lang w:val="uk-UA"/>
              </w:rPr>
              <w:t xml:space="preserve"> етнічної/національної ідентичності.</w:t>
            </w:r>
          </w:p>
        </w:tc>
      </w:tr>
      <w:tr w:rsidR="00764B86" w:rsidRPr="003D4DCD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60" w:rsidRPr="002A07AF" w:rsidRDefault="00764B86" w:rsidP="004E2A6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A07AF">
              <w:rPr>
                <w:color w:val="auto"/>
                <w:lang w:val="uk-UA" w:eastAsia="uk-UA"/>
              </w:rPr>
              <w:t xml:space="preserve"> Основна література: </w:t>
            </w:r>
          </w:p>
          <w:p w:rsidR="000F1C60" w:rsidRPr="002A07AF" w:rsidRDefault="000F1C60" w:rsidP="000F1C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</w:pPr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 xml:space="preserve">Національний склад населення України та його мовні ознаки за </w:t>
            </w:r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lastRenderedPageBreak/>
              <w:t>даними Всеукраїнського перепису населення 2001 року. К., 2003. 300 с.</w:t>
            </w:r>
          </w:p>
          <w:p w:rsidR="000F1C60" w:rsidRPr="002A07AF" w:rsidRDefault="000F1C60" w:rsidP="000F1C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</w:pPr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Брас П. Етнічні групи і формування етнічної ідентичності. Націоналізм. Антологія. К., 2000. С.462-468.</w:t>
            </w:r>
          </w:p>
          <w:p w:rsidR="000F1C60" w:rsidRPr="002A07AF" w:rsidRDefault="000F1C60" w:rsidP="000F1C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</w:pPr>
            <w:proofErr w:type="spellStart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Євтух</w:t>
            </w:r>
            <w:proofErr w:type="spellEnd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 xml:space="preserve"> В. Національні меншини між державною </w:t>
            </w:r>
            <w:proofErr w:type="spellStart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етнополітикою</w:t>
            </w:r>
            <w:proofErr w:type="spellEnd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 xml:space="preserve"> та самовизначенням. Соціологія: теорія, методи, маркетинг, 1998,  №2. С.93-104.</w:t>
            </w:r>
          </w:p>
          <w:p w:rsidR="000F1C60" w:rsidRPr="002A07AF" w:rsidRDefault="000F1C60" w:rsidP="000F1C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</w:pPr>
            <w:proofErr w:type="spellStart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Гатчінсон</w:t>
            </w:r>
            <w:proofErr w:type="spellEnd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 xml:space="preserve"> Д., Сміт Е. Що таке </w:t>
            </w:r>
            <w:proofErr w:type="spellStart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етнічність</w:t>
            </w:r>
            <w:proofErr w:type="spellEnd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. Націоналізм. Антологія. Київ, 2000. С. 468-477.</w:t>
            </w:r>
          </w:p>
          <w:p w:rsidR="000F1C60" w:rsidRPr="002A07AF" w:rsidRDefault="000F1C60" w:rsidP="000F1C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</w:pPr>
            <w:proofErr w:type="spellStart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Еріксен</w:t>
            </w:r>
            <w:proofErr w:type="spellEnd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 xml:space="preserve"> Т. </w:t>
            </w:r>
            <w:proofErr w:type="spellStart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Етнічність</w:t>
            </w:r>
            <w:proofErr w:type="spellEnd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, раса, клас і нація. Націоналізм. Антологія. Київ, 2000. С. 458-462.</w:t>
            </w:r>
          </w:p>
          <w:p w:rsidR="000F1C60" w:rsidRPr="002A07AF" w:rsidRDefault="000F1C60" w:rsidP="000F1C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</w:pPr>
            <w:proofErr w:type="spellStart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Секемрергорн</w:t>
            </w:r>
            <w:proofErr w:type="spellEnd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 xml:space="preserve"> Р. </w:t>
            </w:r>
            <w:proofErr w:type="spellStart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Етнічність</w:t>
            </w:r>
            <w:proofErr w:type="spellEnd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 xml:space="preserve"> і меншини. Націоналізм. Антологія. Київ, 2000. С. 455-458.</w:t>
            </w:r>
          </w:p>
          <w:p w:rsidR="000F1C60" w:rsidRPr="002A07AF" w:rsidRDefault="000F1C60" w:rsidP="000F1C6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</w:pPr>
            <w:proofErr w:type="spellStart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Barth</w:t>
            </w:r>
            <w:proofErr w:type="spellEnd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 xml:space="preserve"> F. </w:t>
            </w:r>
            <w:proofErr w:type="spellStart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Ethnic</w:t>
            </w:r>
            <w:proofErr w:type="spellEnd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groups</w:t>
            </w:r>
            <w:proofErr w:type="spellEnd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and</w:t>
            </w:r>
            <w:proofErr w:type="spellEnd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boundaries</w:t>
            </w:r>
            <w:proofErr w:type="spellEnd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In</w:t>
            </w:r>
            <w:proofErr w:type="spellEnd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Ethnicity</w:t>
            </w:r>
            <w:proofErr w:type="spellEnd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Hutchinson</w:t>
            </w:r>
            <w:proofErr w:type="spellEnd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 xml:space="preserve"> J., </w:t>
            </w:r>
            <w:proofErr w:type="spellStart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Smith</w:t>
            </w:r>
            <w:proofErr w:type="spellEnd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 xml:space="preserve"> A. </w:t>
            </w:r>
            <w:proofErr w:type="spellStart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Oxford</w:t>
            </w:r>
            <w:proofErr w:type="spellEnd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New</w:t>
            </w:r>
            <w:proofErr w:type="spellEnd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York</w:t>
            </w:r>
            <w:proofErr w:type="spellEnd"/>
            <w:r w:rsidRPr="002A07AF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  <w:t>, 1996. P.75-82.</w:t>
            </w:r>
          </w:p>
          <w:p w:rsidR="00D34906" w:rsidRPr="002A07AF" w:rsidRDefault="00D34906" w:rsidP="004E2A6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0F1C60" w:rsidRPr="002A07AF" w:rsidRDefault="00764B86" w:rsidP="004E2A6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A07AF">
              <w:rPr>
                <w:color w:val="auto"/>
                <w:lang w:val="uk-UA" w:eastAsia="uk-UA"/>
              </w:rPr>
              <w:t xml:space="preserve">Додаткова література: </w:t>
            </w:r>
          </w:p>
          <w:p w:rsidR="000F1C60" w:rsidRPr="002A07AF" w:rsidRDefault="000F1C60" w:rsidP="000F1C6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41"/>
              </w:tabs>
              <w:jc w:val="both"/>
              <w:rPr>
                <w:lang w:val="uk-UA"/>
              </w:rPr>
            </w:pPr>
            <w:proofErr w:type="spellStart"/>
            <w:r w:rsidRPr="002A07AF">
              <w:rPr>
                <w:i/>
                <w:lang w:val="uk-UA"/>
              </w:rPr>
              <w:t>Ethnic</w:t>
            </w:r>
            <w:proofErr w:type="spellEnd"/>
            <w:r w:rsidRPr="002A07AF">
              <w:rPr>
                <w:i/>
                <w:lang w:val="uk-UA"/>
              </w:rPr>
              <w:t xml:space="preserve"> </w:t>
            </w:r>
            <w:proofErr w:type="spellStart"/>
            <w:r w:rsidRPr="002A07AF">
              <w:rPr>
                <w:i/>
                <w:lang w:val="uk-UA"/>
              </w:rPr>
              <w:t>minorities</w:t>
            </w:r>
            <w:proofErr w:type="spellEnd"/>
            <w:r w:rsidRPr="002A07AF">
              <w:rPr>
                <w:i/>
                <w:lang w:val="uk-UA"/>
              </w:rPr>
              <w:t xml:space="preserve"> </w:t>
            </w:r>
            <w:proofErr w:type="spellStart"/>
            <w:r w:rsidRPr="002A07AF">
              <w:rPr>
                <w:i/>
                <w:lang w:val="uk-UA"/>
              </w:rPr>
              <w:t>and</w:t>
            </w:r>
            <w:proofErr w:type="spellEnd"/>
            <w:r w:rsidRPr="002A07AF">
              <w:rPr>
                <w:i/>
                <w:lang w:val="uk-UA"/>
              </w:rPr>
              <w:t xml:space="preserve"> </w:t>
            </w:r>
            <w:proofErr w:type="spellStart"/>
            <w:r w:rsidRPr="002A07AF">
              <w:rPr>
                <w:i/>
                <w:lang w:val="uk-UA"/>
              </w:rPr>
              <w:t>ethnic</w:t>
            </w:r>
            <w:proofErr w:type="spellEnd"/>
            <w:r w:rsidRPr="002A07AF">
              <w:rPr>
                <w:i/>
                <w:lang w:val="uk-UA"/>
              </w:rPr>
              <w:t xml:space="preserve"> </w:t>
            </w:r>
            <w:proofErr w:type="spellStart"/>
            <w:r w:rsidRPr="002A07AF">
              <w:rPr>
                <w:i/>
                <w:lang w:val="uk-UA"/>
              </w:rPr>
              <w:t>majority</w:t>
            </w:r>
            <w:proofErr w:type="spellEnd"/>
            <w:r w:rsidRPr="002A07AF">
              <w:rPr>
                <w:lang w:val="uk-UA"/>
              </w:rPr>
              <w:t xml:space="preserve">. </w:t>
            </w:r>
            <w:proofErr w:type="spellStart"/>
            <w:r w:rsidRPr="002A07AF">
              <w:rPr>
                <w:lang w:val="uk-UA"/>
              </w:rPr>
              <w:t>Sociological</w:t>
            </w:r>
            <w:proofErr w:type="spellEnd"/>
            <w:r w:rsidRPr="002A07AF">
              <w:rPr>
                <w:lang w:val="uk-UA"/>
              </w:rPr>
              <w:t xml:space="preserve"> </w:t>
            </w:r>
            <w:proofErr w:type="spellStart"/>
            <w:r w:rsidRPr="002A07AF">
              <w:rPr>
                <w:lang w:val="uk-UA"/>
              </w:rPr>
              <w:t>Studies</w:t>
            </w:r>
            <w:proofErr w:type="spellEnd"/>
            <w:r w:rsidRPr="002A07AF">
              <w:rPr>
                <w:lang w:val="uk-UA"/>
              </w:rPr>
              <w:t xml:space="preserve"> </w:t>
            </w:r>
            <w:proofErr w:type="spellStart"/>
            <w:r w:rsidRPr="002A07AF">
              <w:rPr>
                <w:lang w:val="uk-UA"/>
              </w:rPr>
              <w:t>of</w:t>
            </w:r>
            <w:proofErr w:type="spellEnd"/>
            <w:r w:rsidRPr="002A07AF">
              <w:rPr>
                <w:lang w:val="uk-UA"/>
              </w:rPr>
              <w:t xml:space="preserve"> </w:t>
            </w:r>
            <w:proofErr w:type="spellStart"/>
            <w:r w:rsidRPr="002A07AF">
              <w:rPr>
                <w:lang w:val="uk-UA"/>
              </w:rPr>
              <w:t>Ethnic</w:t>
            </w:r>
            <w:proofErr w:type="spellEnd"/>
            <w:r w:rsidRPr="002A07AF">
              <w:rPr>
                <w:lang w:val="uk-UA"/>
              </w:rPr>
              <w:t xml:space="preserve"> </w:t>
            </w:r>
            <w:proofErr w:type="spellStart"/>
            <w:r w:rsidRPr="002A07AF">
              <w:rPr>
                <w:lang w:val="uk-UA"/>
              </w:rPr>
              <w:t>Relations</w:t>
            </w:r>
            <w:proofErr w:type="spellEnd"/>
            <w:r w:rsidRPr="002A07AF">
              <w:rPr>
                <w:lang w:val="uk-UA"/>
              </w:rPr>
              <w:t xml:space="preserve"> </w:t>
            </w:r>
            <w:proofErr w:type="spellStart"/>
            <w:r w:rsidRPr="002A07AF">
              <w:rPr>
                <w:lang w:val="uk-UA"/>
              </w:rPr>
              <w:t>in</w:t>
            </w:r>
            <w:proofErr w:type="spellEnd"/>
            <w:r w:rsidRPr="002A07AF">
              <w:rPr>
                <w:lang w:val="uk-UA"/>
              </w:rPr>
              <w:t xml:space="preserve"> </w:t>
            </w:r>
            <w:proofErr w:type="spellStart"/>
            <w:r w:rsidRPr="002A07AF">
              <w:rPr>
                <w:lang w:val="uk-UA"/>
              </w:rPr>
              <w:t>Poland</w:t>
            </w:r>
            <w:proofErr w:type="spellEnd"/>
            <w:r w:rsidRPr="002A07AF">
              <w:rPr>
                <w:lang w:val="uk-UA"/>
              </w:rPr>
              <w:t xml:space="preserve">. </w:t>
            </w:r>
            <w:proofErr w:type="spellStart"/>
            <w:r w:rsidRPr="002A07AF">
              <w:rPr>
                <w:lang w:val="uk-UA"/>
              </w:rPr>
              <w:t>Katowice</w:t>
            </w:r>
            <w:proofErr w:type="spellEnd"/>
            <w:r w:rsidRPr="002A07AF">
              <w:rPr>
                <w:lang w:val="uk-UA"/>
              </w:rPr>
              <w:t xml:space="preserve">: </w:t>
            </w:r>
            <w:proofErr w:type="spellStart"/>
            <w:r w:rsidRPr="002A07AF">
              <w:rPr>
                <w:lang w:val="uk-UA"/>
              </w:rPr>
              <w:t>Wydawnictwo</w:t>
            </w:r>
            <w:proofErr w:type="spellEnd"/>
            <w:r w:rsidRPr="002A07AF">
              <w:rPr>
                <w:lang w:val="uk-UA"/>
              </w:rPr>
              <w:t xml:space="preserve"> </w:t>
            </w:r>
            <w:proofErr w:type="spellStart"/>
            <w:r w:rsidRPr="002A07AF">
              <w:rPr>
                <w:lang w:val="uk-UA"/>
              </w:rPr>
              <w:t>Uniwersytetu</w:t>
            </w:r>
            <w:proofErr w:type="spellEnd"/>
            <w:r w:rsidRPr="002A07AF">
              <w:rPr>
                <w:lang w:val="uk-UA"/>
              </w:rPr>
              <w:t xml:space="preserve"> </w:t>
            </w:r>
            <w:proofErr w:type="spellStart"/>
            <w:r w:rsidRPr="002A07AF">
              <w:rPr>
                <w:lang w:val="uk-UA"/>
              </w:rPr>
              <w:t>Śląskiego</w:t>
            </w:r>
            <w:proofErr w:type="spellEnd"/>
            <w:r w:rsidRPr="002A07AF">
              <w:rPr>
                <w:lang w:val="uk-UA"/>
              </w:rPr>
              <w:t>, 1997.</w:t>
            </w:r>
          </w:p>
          <w:p w:rsidR="000F1C60" w:rsidRPr="002A07AF" w:rsidRDefault="000F1C60" w:rsidP="000F1C60">
            <w:pPr>
              <w:pStyle w:val="a6"/>
              <w:numPr>
                <w:ilvl w:val="0"/>
                <w:numId w:val="8"/>
              </w:numPr>
              <w:tabs>
                <w:tab w:val="left" w:pos="541"/>
              </w:tabs>
              <w:spacing w:after="0"/>
              <w:rPr>
                <w:sz w:val="24"/>
                <w:lang w:val="uk-UA"/>
              </w:rPr>
            </w:pPr>
            <w:proofErr w:type="spellStart"/>
            <w:r w:rsidRPr="002A07AF">
              <w:rPr>
                <w:sz w:val="24"/>
                <w:lang w:val="uk-UA"/>
              </w:rPr>
              <w:t>Schopflin</w:t>
            </w:r>
            <w:proofErr w:type="spellEnd"/>
            <w:r w:rsidRPr="002A07AF">
              <w:rPr>
                <w:sz w:val="24"/>
                <w:lang w:val="uk-UA"/>
              </w:rPr>
              <w:t xml:space="preserve"> G. </w:t>
            </w:r>
            <w:proofErr w:type="spellStart"/>
            <w:r w:rsidRPr="002A07AF">
              <w:rPr>
                <w:sz w:val="24"/>
                <w:lang w:val="uk-UA"/>
              </w:rPr>
              <w:t>Nationalism</w:t>
            </w:r>
            <w:proofErr w:type="spellEnd"/>
            <w:r w:rsidRPr="002A07AF">
              <w:rPr>
                <w:sz w:val="24"/>
                <w:lang w:val="uk-UA"/>
              </w:rPr>
              <w:t xml:space="preserve"> </w:t>
            </w:r>
            <w:proofErr w:type="spellStart"/>
            <w:r w:rsidRPr="002A07AF">
              <w:rPr>
                <w:sz w:val="24"/>
                <w:lang w:val="uk-UA"/>
              </w:rPr>
              <w:t>and</w:t>
            </w:r>
            <w:proofErr w:type="spellEnd"/>
            <w:r w:rsidRPr="002A07AF">
              <w:rPr>
                <w:sz w:val="24"/>
                <w:lang w:val="uk-UA"/>
              </w:rPr>
              <w:t xml:space="preserve"> </w:t>
            </w:r>
            <w:proofErr w:type="spellStart"/>
            <w:r w:rsidRPr="002A07AF">
              <w:rPr>
                <w:sz w:val="24"/>
                <w:lang w:val="uk-UA"/>
              </w:rPr>
              <w:t>ethnicity</w:t>
            </w:r>
            <w:proofErr w:type="spellEnd"/>
            <w:r w:rsidRPr="002A07AF">
              <w:rPr>
                <w:sz w:val="24"/>
                <w:lang w:val="uk-UA"/>
              </w:rPr>
              <w:t xml:space="preserve"> </w:t>
            </w:r>
            <w:proofErr w:type="spellStart"/>
            <w:r w:rsidRPr="002A07AF">
              <w:rPr>
                <w:sz w:val="24"/>
                <w:lang w:val="uk-UA"/>
              </w:rPr>
              <w:t>in</w:t>
            </w:r>
            <w:proofErr w:type="spellEnd"/>
            <w:r w:rsidRPr="002A07AF">
              <w:rPr>
                <w:sz w:val="24"/>
                <w:lang w:val="uk-UA"/>
              </w:rPr>
              <w:t xml:space="preserve"> </w:t>
            </w:r>
            <w:proofErr w:type="spellStart"/>
            <w:r w:rsidRPr="002A07AF">
              <w:rPr>
                <w:sz w:val="24"/>
                <w:lang w:val="uk-UA"/>
              </w:rPr>
              <w:t>Europe</w:t>
            </w:r>
            <w:proofErr w:type="spellEnd"/>
            <w:r w:rsidRPr="002A07AF">
              <w:rPr>
                <w:sz w:val="24"/>
                <w:lang w:val="uk-UA"/>
              </w:rPr>
              <w:t xml:space="preserve">, </w:t>
            </w:r>
            <w:proofErr w:type="spellStart"/>
            <w:r w:rsidRPr="002A07AF">
              <w:rPr>
                <w:sz w:val="24"/>
                <w:lang w:val="uk-UA"/>
              </w:rPr>
              <w:t>East</w:t>
            </w:r>
            <w:proofErr w:type="spellEnd"/>
            <w:r w:rsidRPr="002A07AF">
              <w:rPr>
                <w:sz w:val="24"/>
                <w:lang w:val="uk-UA"/>
              </w:rPr>
              <w:t xml:space="preserve"> </w:t>
            </w:r>
            <w:proofErr w:type="spellStart"/>
            <w:r w:rsidRPr="002A07AF">
              <w:rPr>
                <w:sz w:val="24"/>
                <w:lang w:val="uk-UA"/>
              </w:rPr>
              <w:t>and</w:t>
            </w:r>
            <w:proofErr w:type="spellEnd"/>
            <w:r w:rsidRPr="002A07AF">
              <w:rPr>
                <w:sz w:val="24"/>
                <w:lang w:val="uk-UA"/>
              </w:rPr>
              <w:t xml:space="preserve"> </w:t>
            </w:r>
            <w:proofErr w:type="spellStart"/>
            <w:r w:rsidRPr="002A07AF">
              <w:rPr>
                <w:sz w:val="24"/>
                <w:lang w:val="uk-UA"/>
              </w:rPr>
              <w:t>West</w:t>
            </w:r>
            <w:proofErr w:type="spellEnd"/>
            <w:r w:rsidRPr="002A07AF">
              <w:rPr>
                <w:sz w:val="24"/>
                <w:lang w:val="uk-UA"/>
              </w:rPr>
              <w:t xml:space="preserve">. </w:t>
            </w:r>
            <w:proofErr w:type="spellStart"/>
            <w:r w:rsidRPr="002A07AF">
              <w:rPr>
                <w:i/>
                <w:sz w:val="24"/>
                <w:lang w:val="uk-UA"/>
              </w:rPr>
              <w:t>Nationalism</w:t>
            </w:r>
            <w:proofErr w:type="spellEnd"/>
            <w:r w:rsidRPr="002A07AF">
              <w:rPr>
                <w:i/>
                <w:sz w:val="24"/>
                <w:lang w:val="uk-UA"/>
              </w:rPr>
              <w:t xml:space="preserve"> </w:t>
            </w:r>
            <w:proofErr w:type="spellStart"/>
            <w:r w:rsidRPr="002A07AF">
              <w:rPr>
                <w:i/>
                <w:sz w:val="24"/>
                <w:lang w:val="uk-UA"/>
              </w:rPr>
              <w:t>and</w:t>
            </w:r>
            <w:proofErr w:type="spellEnd"/>
            <w:r w:rsidRPr="002A07AF">
              <w:rPr>
                <w:i/>
                <w:sz w:val="24"/>
                <w:lang w:val="uk-UA"/>
              </w:rPr>
              <w:t xml:space="preserve"> </w:t>
            </w:r>
            <w:proofErr w:type="spellStart"/>
            <w:r w:rsidRPr="002A07AF">
              <w:rPr>
                <w:i/>
                <w:sz w:val="24"/>
                <w:lang w:val="uk-UA"/>
              </w:rPr>
              <w:t>nationalities</w:t>
            </w:r>
            <w:proofErr w:type="spellEnd"/>
            <w:r w:rsidRPr="002A07AF">
              <w:rPr>
                <w:i/>
                <w:sz w:val="24"/>
                <w:lang w:val="uk-UA"/>
              </w:rPr>
              <w:t xml:space="preserve"> </w:t>
            </w:r>
            <w:proofErr w:type="spellStart"/>
            <w:r w:rsidRPr="002A07AF">
              <w:rPr>
                <w:i/>
                <w:sz w:val="24"/>
                <w:lang w:val="uk-UA"/>
              </w:rPr>
              <w:t>in</w:t>
            </w:r>
            <w:proofErr w:type="spellEnd"/>
            <w:r w:rsidRPr="002A07AF">
              <w:rPr>
                <w:i/>
                <w:sz w:val="24"/>
                <w:lang w:val="uk-UA"/>
              </w:rPr>
              <w:t xml:space="preserve"> </w:t>
            </w:r>
            <w:proofErr w:type="spellStart"/>
            <w:r w:rsidRPr="002A07AF">
              <w:rPr>
                <w:i/>
                <w:sz w:val="24"/>
                <w:lang w:val="uk-UA"/>
              </w:rPr>
              <w:t>the</w:t>
            </w:r>
            <w:proofErr w:type="spellEnd"/>
            <w:r w:rsidRPr="002A07AF">
              <w:rPr>
                <w:i/>
                <w:sz w:val="24"/>
                <w:lang w:val="uk-UA"/>
              </w:rPr>
              <w:t xml:space="preserve"> </w:t>
            </w:r>
            <w:proofErr w:type="spellStart"/>
            <w:r w:rsidRPr="002A07AF">
              <w:rPr>
                <w:i/>
                <w:sz w:val="24"/>
                <w:lang w:val="uk-UA"/>
              </w:rPr>
              <w:t>new</w:t>
            </w:r>
            <w:proofErr w:type="spellEnd"/>
            <w:r w:rsidRPr="002A07AF">
              <w:rPr>
                <w:i/>
                <w:sz w:val="24"/>
                <w:lang w:val="uk-UA"/>
              </w:rPr>
              <w:t xml:space="preserve"> </w:t>
            </w:r>
            <w:proofErr w:type="spellStart"/>
            <w:r w:rsidRPr="002A07AF">
              <w:rPr>
                <w:i/>
                <w:sz w:val="24"/>
                <w:lang w:val="uk-UA"/>
              </w:rPr>
              <w:t>Europe</w:t>
            </w:r>
            <w:proofErr w:type="spellEnd"/>
            <w:r w:rsidRPr="002A07AF">
              <w:rPr>
                <w:sz w:val="24"/>
                <w:lang w:val="uk-UA"/>
              </w:rPr>
              <w:t xml:space="preserve">. </w:t>
            </w:r>
            <w:proofErr w:type="spellStart"/>
            <w:r w:rsidRPr="002A07AF">
              <w:rPr>
                <w:sz w:val="24"/>
                <w:lang w:val="uk-UA"/>
              </w:rPr>
              <w:t>Ed</w:t>
            </w:r>
            <w:proofErr w:type="spellEnd"/>
            <w:r w:rsidRPr="002A07AF">
              <w:rPr>
                <w:sz w:val="24"/>
                <w:lang w:val="uk-UA"/>
              </w:rPr>
              <w:t xml:space="preserve">. </w:t>
            </w:r>
            <w:proofErr w:type="spellStart"/>
            <w:r w:rsidRPr="002A07AF">
              <w:rPr>
                <w:sz w:val="24"/>
                <w:lang w:val="uk-UA"/>
              </w:rPr>
              <w:t>by</w:t>
            </w:r>
            <w:proofErr w:type="spellEnd"/>
            <w:r w:rsidRPr="002A07AF">
              <w:rPr>
                <w:sz w:val="24"/>
                <w:lang w:val="uk-UA"/>
              </w:rPr>
              <w:t xml:space="preserve">. </w:t>
            </w:r>
            <w:proofErr w:type="spellStart"/>
            <w:r w:rsidRPr="002A07AF">
              <w:rPr>
                <w:sz w:val="24"/>
                <w:lang w:val="uk-UA"/>
              </w:rPr>
              <w:t>Kupchan</w:t>
            </w:r>
            <w:proofErr w:type="spellEnd"/>
            <w:r w:rsidRPr="002A07AF">
              <w:rPr>
                <w:sz w:val="24"/>
                <w:lang w:val="uk-UA"/>
              </w:rPr>
              <w:t xml:space="preserve"> K. </w:t>
            </w:r>
            <w:proofErr w:type="spellStart"/>
            <w:r w:rsidRPr="002A07AF">
              <w:rPr>
                <w:sz w:val="24"/>
                <w:lang w:val="uk-UA"/>
              </w:rPr>
              <w:t>Ithaca</w:t>
            </w:r>
            <w:proofErr w:type="spellEnd"/>
            <w:r w:rsidRPr="002A07AF">
              <w:rPr>
                <w:sz w:val="24"/>
                <w:lang w:val="uk-UA"/>
              </w:rPr>
              <w:t xml:space="preserve"> – </w:t>
            </w:r>
            <w:proofErr w:type="spellStart"/>
            <w:r w:rsidRPr="002A07AF">
              <w:rPr>
                <w:sz w:val="24"/>
                <w:lang w:val="uk-UA"/>
              </w:rPr>
              <w:t>London</w:t>
            </w:r>
            <w:proofErr w:type="spellEnd"/>
            <w:r w:rsidRPr="002A07AF">
              <w:rPr>
                <w:sz w:val="24"/>
                <w:lang w:val="uk-UA"/>
              </w:rPr>
              <w:t xml:space="preserve">: </w:t>
            </w:r>
            <w:proofErr w:type="spellStart"/>
            <w:r w:rsidRPr="002A07AF">
              <w:rPr>
                <w:sz w:val="24"/>
                <w:lang w:val="uk-UA"/>
              </w:rPr>
              <w:t>Cornell</w:t>
            </w:r>
            <w:proofErr w:type="spellEnd"/>
            <w:r w:rsidRPr="002A07AF">
              <w:rPr>
                <w:sz w:val="24"/>
                <w:lang w:val="uk-UA"/>
              </w:rPr>
              <w:t xml:space="preserve"> </w:t>
            </w:r>
            <w:proofErr w:type="spellStart"/>
            <w:r w:rsidRPr="002A07AF">
              <w:rPr>
                <w:sz w:val="24"/>
                <w:lang w:val="uk-UA"/>
              </w:rPr>
              <w:t>University</w:t>
            </w:r>
            <w:proofErr w:type="spellEnd"/>
            <w:r w:rsidRPr="002A07AF">
              <w:rPr>
                <w:sz w:val="24"/>
                <w:lang w:val="uk-UA"/>
              </w:rPr>
              <w:t xml:space="preserve"> </w:t>
            </w:r>
            <w:proofErr w:type="spellStart"/>
            <w:r w:rsidRPr="002A07AF">
              <w:rPr>
                <w:sz w:val="24"/>
                <w:lang w:val="uk-UA"/>
              </w:rPr>
              <w:t>Press</w:t>
            </w:r>
            <w:proofErr w:type="spellEnd"/>
            <w:r w:rsidRPr="002A07AF">
              <w:rPr>
                <w:sz w:val="24"/>
                <w:lang w:val="uk-UA"/>
              </w:rPr>
              <w:t>, 1995.  Pp.37-65.</w:t>
            </w:r>
          </w:p>
          <w:p w:rsidR="000F1C60" w:rsidRPr="002A07AF" w:rsidRDefault="000F1C60" w:rsidP="000F1C60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541"/>
              </w:tabs>
              <w:jc w:val="both"/>
              <w:textAlignment w:val="baseline"/>
              <w:rPr>
                <w:lang w:val="uk-UA"/>
              </w:rPr>
            </w:pPr>
            <w:r w:rsidRPr="002A07AF">
              <w:rPr>
                <w:lang w:val="uk-UA"/>
              </w:rPr>
              <w:t xml:space="preserve">Плохій С. Походження слов’янських націй. </w:t>
            </w:r>
            <w:proofErr w:type="spellStart"/>
            <w:r w:rsidRPr="002A07AF">
              <w:rPr>
                <w:lang w:val="uk-UA"/>
              </w:rPr>
              <w:t>Домодерні</w:t>
            </w:r>
            <w:proofErr w:type="spellEnd"/>
            <w:r w:rsidRPr="002A07AF">
              <w:rPr>
                <w:lang w:val="uk-UA"/>
              </w:rPr>
              <w:t xml:space="preserve"> ідентичності в Україні, Росії та Білорусі. – Київ : Критика, 2015</w:t>
            </w:r>
          </w:p>
          <w:p w:rsidR="000F1C60" w:rsidRPr="002A07AF" w:rsidRDefault="000F1C60" w:rsidP="000F1C60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541"/>
              </w:tabs>
              <w:jc w:val="both"/>
              <w:rPr>
                <w:b/>
                <w:lang w:val="uk-UA"/>
              </w:rPr>
            </w:pPr>
            <w:r w:rsidRPr="002A07AF">
              <w:rPr>
                <w:lang w:val="uk-UA"/>
              </w:rPr>
              <w:t xml:space="preserve">Сміт Ентоні Д. Культурні основи націй: Ієрархія, заповіт і республіка. Київ: </w:t>
            </w:r>
            <w:proofErr w:type="spellStart"/>
            <w:r w:rsidRPr="002A07AF">
              <w:rPr>
                <w:lang w:val="uk-UA"/>
              </w:rPr>
              <w:t>Темпора</w:t>
            </w:r>
            <w:proofErr w:type="spellEnd"/>
            <w:r w:rsidRPr="002A07AF">
              <w:rPr>
                <w:lang w:val="uk-UA"/>
              </w:rPr>
              <w:t>, 2010. – 312 с.</w:t>
            </w:r>
          </w:p>
          <w:p w:rsidR="000F1C60" w:rsidRPr="002A07AF" w:rsidRDefault="000F1C60" w:rsidP="000F1C60">
            <w:pPr>
              <w:pStyle w:val="a6"/>
              <w:numPr>
                <w:ilvl w:val="0"/>
                <w:numId w:val="8"/>
              </w:numPr>
              <w:tabs>
                <w:tab w:val="left" w:pos="541"/>
              </w:tabs>
              <w:spacing w:after="0"/>
              <w:rPr>
                <w:sz w:val="24"/>
                <w:lang w:val="uk-UA"/>
              </w:rPr>
            </w:pPr>
            <w:r w:rsidRPr="002A07AF">
              <w:rPr>
                <w:sz w:val="24"/>
                <w:lang w:val="uk-UA"/>
              </w:rPr>
              <w:t>Антонович М. Співвідношення понять “народ” і “нація” у національному та міжнародному праві // Україна в сучасному світі. Київ, 2003. С. 56-64.</w:t>
            </w:r>
          </w:p>
          <w:p w:rsidR="000F1C60" w:rsidRPr="002A07AF" w:rsidRDefault="000F1C60" w:rsidP="000F1C60">
            <w:pPr>
              <w:pStyle w:val="a3"/>
              <w:numPr>
                <w:ilvl w:val="0"/>
                <w:numId w:val="8"/>
              </w:numPr>
              <w:tabs>
                <w:tab w:val="left" w:pos="541"/>
              </w:tabs>
              <w:jc w:val="both"/>
              <w:outlineLvl w:val="0"/>
              <w:rPr>
                <w:lang w:val="uk-UA"/>
              </w:rPr>
            </w:pPr>
            <w:proofErr w:type="spellStart"/>
            <w:r w:rsidRPr="002A07AF">
              <w:rPr>
                <w:lang w:val="uk-UA"/>
              </w:rPr>
              <w:t>Бочковський</w:t>
            </w:r>
            <w:proofErr w:type="spellEnd"/>
            <w:r w:rsidRPr="002A07AF">
              <w:rPr>
                <w:lang w:val="uk-UA"/>
              </w:rPr>
              <w:t xml:space="preserve"> О.-І. Вступ до </w:t>
            </w:r>
            <w:proofErr w:type="spellStart"/>
            <w:r w:rsidRPr="002A07AF">
              <w:rPr>
                <w:lang w:val="uk-UA"/>
              </w:rPr>
              <w:t>націології</w:t>
            </w:r>
            <w:proofErr w:type="spellEnd"/>
            <w:r w:rsidRPr="002A07AF">
              <w:rPr>
                <w:lang w:val="uk-UA"/>
              </w:rPr>
              <w:t xml:space="preserve"> // </w:t>
            </w:r>
            <w:proofErr w:type="spellStart"/>
            <w:r w:rsidRPr="002A07AF">
              <w:rPr>
                <w:lang w:val="uk-UA"/>
              </w:rPr>
              <w:t>Генеза</w:t>
            </w:r>
            <w:proofErr w:type="spellEnd"/>
            <w:r w:rsidRPr="002A07AF">
              <w:rPr>
                <w:lang w:val="uk-UA"/>
              </w:rPr>
              <w:t xml:space="preserve">: філософія, історія, політологія. – Київ: Видавництво </w:t>
            </w:r>
            <w:proofErr w:type="spellStart"/>
            <w:r w:rsidRPr="002A07AF">
              <w:rPr>
                <w:lang w:val="uk-UA"/>
              </w:rPr>
              <w:t>Генеза</w:t>
            </w:r>
            <w:proofErr w:type="spellEnd"/>
            <w:r w:rsidRPr="002A07AF">
              <w:rPr>
                <w:lang w:val="uk-UA"/>
              </w:rPr>
              <w:t xml:space="preserve">. 1995, с. 112–127; 1996, с. 81–107. </w:t>
            </w:r>
          </w:p>
          <w:p w:rsidR="000F1C60" w:rsidRPr="002A07AF" w:rsidRDefault="000F1C60" w:rsidP="000F1C60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541"/>
              </w:tabs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A07AF">
              <w:rPr>
                <w:lang w:val="uk-UA"/>
              </w:rPr>
              <w:t>Дашкевич Я. Нація та націоналізм: теоретичні проблеми й історіографічні висновки // Україна в минулому.- К.; Львів, 1996.- Вип. 9.- С. 177-185.</w:t>
            </w:r>
          </w:p>
          <w:p w:rsidR="000F1C60" w:rsidRPr="002A07AF" w:rsidRDefault="000F1C60" w:rsidP="000F1C60">
            <w:pPr>
              <w:pStyle w:val="a3"/>
              <w:numPr>
                <w:ilvl w:val="0"/>
                <w:numId w:val="8"/>
              </w:numPr>
              <w:tabs>
                <w:tab w:val="left" w:pos="541"/>
              </w:tabs>
              <w:rPr>
                <w:lang w:val="uk-UA"/>
              </w:rPr>
            </w:pPr>
            <w:r w:rsidRPr="002A07AF">
              <w:rPr>
                <w:lang w:val="uk-UA"/>
              </w:rPr>
              <w:t xml:space="preserve">Плохій С. Походження слов’янських націй. </w:t>
            </w:r>
            <w:proofErr w:type="spellStart"/>
            <w:r w:rsidRPr="002A07AF">
              <w:rPr>
                <w:lang w:val="uk-UA"/>
              </w:rPr>
              <w:t>Домодерні</w:t>
            </w:r>
            <w:proofErr w:type="spellEnd"/>
            <w:r w:rsidRPr="002A07AF">
              <w:rPr>
                <w:lang w:val="uk-UA"/>
              </w:rPr>
              <w:t xml:space="preserve"> ідентичності в Україні, Росії та Білорусі. – Київ : Критика, 2015.</w:t>
            </w:r>
          </w:p>
          <w:p w:rsidR="000F1C60" w:rsidRPr="002A07AF" w:rsidRDefault="000F1C60" w:rsidP="000F1C60">
            <w:pPr>
              <w:pStyle w:val="a3"/>
              <w:numPr>
                <w:ilvl w:val="0"/>
                <w:numId w:val="8"/>
              </w:numPr>
              <w:tabs>
                <w:tab w:val="left" w:pos="541"/>
              </w:tabs>
              <w:rPr>
                <w:lang w:val="uk-UA"/>
              </w:rPr>
            </w:pPr>
            <w:proofErr w:type="spellStart"/>
            <w:r w:rsidRPr="002A07AF">
              <w:rPr>
                <w:lang w:val="uk-UA"/>
              </w:rPr>
              <w:t>Ребет</w:t>
            </w:r>
            <w:proofErr w:type="spellEnd"/>
            <w:r w:rsidRPr="002A07AF">
              <w:rPr>
                <w:lang w:val="uk-UA"/>
              </w:rPr>
              <w:t xml:space="preserve"> Л. Теорія нації. – Львів. 1997.</w:t>
            </w:r>
          </w:p>
          <w:p w:rsidR="00D34906" w:rsidRPr="002A07AF" w:rsidRDefault="00D34906" w:rsidP="000F1C60">
            <w:pPr>
              <w:shd w:val="clear" w:color="auto" w:fill="FFFFFF"/>
              <w:tabs>
                <w:tab w:val="left" w:pos="541"/>
              </w:tabs>
              <w:ind w:left="720" w:hanging="360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764B86" w:rsidRPr="002A07AF" w:rsidRDefault="000F1C60" w:rsidP="000F1C60">
            <w:pPr>
              <w:shd w:val="clear" w:color="auto" w:fill="FFFFFF"/>
              <w:tabs>
                <w:tab w:val="left" w:pos="541"/>
              </w:tabs>
              <w:ind w:left="720" w:hanging="360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A07AF">
              <w:rPr>
                <w:color w:val="auto"/>
                <w:lang w:val="uk-UA" w:eastAsia="uk-UA"/>
              </w:rPr>
              <w:t xml:space="preserve">інтернет-джерела: </w:t>
            </w:r>
          </w:p>
          <w:p w:rsidR="000F1C60" w:rsidRPr="002A07AF" w:rsidRDefault="000F1C60" w:rsidP="000F1C6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left="567"/>
              <w:jc w:val="both"/>
              <w:rPr>
                <w:spacing w:val="-13"/>
                <w:lang w:val="uk-UA"/>
              </w:rPr>
            </w:pPr>
            <w:proofErr w:type="spellStart"/>
            <w:r w:rsidRPr="002A07AF">
              <w:rPr>
                <w:spacing w:val="-13"/>
                <w:lang w:val="uk-UA"/>
              </w:rPr>
              <w:t>www.history.com.ua</w:t>
            </w:r>
            <w:proofErr w:type="spellEnd"/>
          </w:p>
          <w:p w:rsidR="000F1C60" w:rsidRPr="002A07AF" w:rsidRDefault="000F1C60" w:rsidP="000F1C6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left="567"/>
              <w:jc w:val="both"/>
              <w:rPr>
                <w:spacing w:val="-13"/>
                <w:lang w:val="uk-UA"/>
              </w:rPr>
            </w:pPr>
            <w:proofErr w:type="spellStart"/>
            <w:r w:rsidRPr="002A07AF">
              <w:rPr>
                <w:spacing w:val="-13"/>
                <w:lang w:val="uk-UA"/>
              </w:rPr>
              <w:t>www.histoty.org.ua</w:t>
            </w:r>
            <w:proofErr w:type="spellEnd"/>
          </w:p>
          <w:p w:rsidR="000F1C60" w:rsidRPr="002A07AF" w:rsidRDefault="000F1C60" w:rsidP="000F1C6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left="567"/>
              <w:jc w:val="both"/>
              <w:rPr>
                <w:spacing w:val="-13"/>
                <w:lang w:val="uk-UA"/>
              </w:rPr>
            </w:pPr>
            <w:proofErr w:type="spellStart"/>
            <w:r w:rsidRPr="002A07AF">
              <w:rPr>
                <w:spacing w:val="-13"/>
                <w:lang w:val="uk-UA"/>
              </w:rPr>
              <w:t>www.litopys.org.ua</w:t>
            </w:r>
            <w:proofErr w:type="spellEnd"/>
          </w:p>
          <w:p w:rsidR="000F1C60" w:rsidRPr="002A07AF" w:rsidRDefault="00513601" w:rsidP="000F1C6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left="567"/>
              <w:jc w:val="both"/>
              <w:rPr>
                <w:spacing w:val="-13"/>
                <w:lang w:val="uk-UA"/>
              </w:rPr>
            </w:pPr>
            <w:hyperlink r:id="rId5" w:history="1">
              <w:r w:rsidR="000F1C60" w:rsidRPr="002A07AF">
                <w:rPr>
                  <w:spacing w:val="-13"/>
                  <w:lang w:val="uk-UA"/>
                </w:rPr>
                <w:t>www.nationalismproject.org</w:t>
              </w:r>
            </w:hyperlink>
            <w:r w:rsidR="000F1C60" w:rsidRPr="002A07AF">
              <w:rPr>
                <w:spacing w:val="-13"/>
                <w:lang w:val="uk-UA"/>
              </w:rPr>
              <w:t xml:space="preserve"> – Ресурсний центр з вивчення націоналізму</w:t>
            </w:r>
          </w:p>
          <w:p w:rsidR="000F1C60" w:rsidRPr="002A07AF" w:rsidRDefault="000F1C60" w:rsidP="000F1C6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left="567"/>
              <w:jc w:val="both"/>
              <w:rPr>
                <w:spacing w:val="-13"/>
                <w:lang w:val="uk-UA"/>
              </w:rPr>
            </w:pPr>
            <w:proofErr w:type="spellStart"/>
            <w:r w:rsidRPr="002A07AF">
              <w:rPr>
                <w:spacing w:val="-13"/>
                <w:lang w:val="uk-UA"/>
              </w:rPr>
              <w:t>www.uht.org.ua</w:t>
            </w:r>
            <w:proofErr w:type="spellEnd"/>
          </w:p>
          <w:p w:rsidR="00764B86" w:rsidRPr="002A07AF" w:rsidRDefault="000F1C60" w:rsidP="000F1C6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left="567"/>
              <w:jc w:val="both"/>
              <w:rPr>
                <w:color w:val="auto"/>
                <w:lang w:val="uk-UA" w:eastAsia="uk-UA"/>
              </w:rPr>
            </w:pPr>
            <w:r w:rsidRPr="002A07AF">
              <w:rPr>
                <w:spacing w:val="-13"/>
                <w:lang w:val="uk-UA"/>
              </w:rPr>
              <w:t>Етнічний довідник. http://www.socd.univ.kiev.ua/publicat/soc/index.html</w:t>
            </w:r>
          </w:p>
        </w:tc>
      </w:tr>
      <w:tr w:rsidR="00764B86" w:rsidRPr="002A07AF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D34906" w:rsidP="004E2A61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b/>
                <w:color w:val="auto"/>
                <w:lang w:val="uk-UA"/>
              </w:rPr>
              <w:t>90</w:t>
            </w:r>
            <w:r w:rsidR="00764B86" w:rsidRPr="002A07AF">
              <w:rPr>
                <w:color w:val="auto"/>
                <w:lang w:val="uk-UA"/>
              </w:rPr>
              <w:t xml:space="preserve">   год.</w:t>
            </w:r>
          </w:p>
          <w:p w:rsidR="00764B86" w:rsidRPr="002A07AF" w:rsidRDefault="00764B86" w:rsidP="004E2A61">
            <w:pPr>
              <w:jc w:val="both"/>
              <w:rPr>
                <w:color w:val="auto"/>
                <w:lang w:val="uk-UA"/>
              </w:rPr>
            </w:pPr>
          </w:p>
        </w:tc>
      </w:tr>
      <w:tr w:rsidR="00764B86" w:rsidRPr="003D4DCD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D34906" w:rsidP="00D34906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b/>
                <w:color w:val="auto"/>
                <w:lang w:val="uk-UA"/>
              </w:rPr>
              <w:t>48</w:t>
            </w:r>
            <w:r w:rsidR="00764B86" w:rsidRPr="002A07AF">
              <w:rPr>
                <w:b/>
                <w:color w:val="auto"/>
                <w:lang w:val="uk-UA"/>
              </w:rPr>
              <w:t xml:space="preserve"> </w:t>
            </w:r>
            <w:r w:rsidR="00764B86" w:rsidRPr="002A07AF">
              <w:rPr>
                <w:color w:val="auto"/>
                <w:lang w:val="uk-UA"/>
              </w:rPr>
              <w:t xml:space="preserve">годин аудиторних занять. З них </w:t>
            </w:r>
            <w:r w:rsidRPr="002A07AF">
              <w:rPr>
                <w:b/>
                <w:color w:val="auto"/>
                <w:lang w:val="uk-UA"/>
              </w:rPr>
              <w:t>32</w:t>
            </w:r>
            <w:r w:rsidRPr="002A07AF">
              <w:rPr>
                <w:color w:val="auto"/>
                <w:lang w:val="uk-UA"/>
              </w:rPr>
              <w:t xml:space="preserve"> </w:t>
            </w:r>
            <w:r w:rsidR="00764B86" w:rsidRPr="002A07AF">
              <w:rPr>
                <w:color w:val="auto"/>
                <w:lang w:val="uk-UA"/>
              </w:rPr>
              <w:t>годин</w:t>
            </w:r>
            <w:r w:rsidRPr="002A07AF">
              <w:rPr>
                <w:color w:val="auto"/>
                <w:lang w:val="uk-UA"/>
              </w:rPr>
              <w:t>и</w:t>
            </w:r>
            <w:r w:rsidR="00764B86" w:rsidRPr="002A07AF">
              <w:rPr>
                <w:color w:val="auto"/>
                <w:lang w:val="uk-UA"/>
              </w:rPr>
              <w:t xml:space="preserve"> лекцій, </w:t>
            </w:r>
            <w:r w:rsidRPr="002A07AF">
              <w:rPr>
                <w:b/>
                <w:color w:val="auto"/>
                <w:lang w:val="uk-UA"/>
              </w:rPr>
              <w:t>16</w:t>
            </w:r>
            <w:r w:rsidRPr="002A07AF">
              <w:rPr>
                <w:color w:val="auto"/>
                <w:lang w:val="uk-UA"/>
              </w:rPr>
              <w:t xml:space="preserve"> </w:t>
            </w:r>
            <w:r w:rsidR="00764B86" w:rsidRPr="002A07AF">
              <w:rPr>
                <w:color w:val="auto"/>
                <w:lang w:val="uk-UA"/>
              </w:rPr>
              <w:t xml:space="preserve">годин практичних занять та </w:t>
            </w:r>
            <w:r w:rsidRPr="002A07AF">
              <w:rPr>
                <w:b/>
                <w:color w:val="auto"/>
                <w:lang w:val="uk-UA"/>
              </w:rPr>
              <w:t>42</w:t>
            </w:r>
            <w:r w:rsidRPr="002A07AF">
              <w:rPr>
                <w:color w:val="auto"/>
                <w:lang w:val="uk-UA"/>
              </w:rPr>
              <w:t xml:space="preserve"> </w:t>
            </w:r>
            <w:r w:rsidR="00764B86" w:rsidRPr="002A07AF">
              <w:rPr>
                <w:color w:val="auto"/>
                <w:lang w:val="uk-UA"/>
              </w:rPr>
              <w:t>годин</w:t>
            </w:r>
            <w:r w:rsidRPr="002A07AF">
              <w:rPr>
                <w:color w:val="auto"/>
                <w:lang w:val="uk-UA"/>
              </w:rPr>
              <w:t>и</w:t>
            </w:r>
            <w:r w:rsidR="00764B86" w:rsidRPr="002A07AF">
              <w:rPr>
                <w:color w:val="auto"/>
                <w:lang w:val="uk-UA"/>
              </w:rPr>
              <w:t xml:space="preserve"> самостійної роботи</w:t>
            </w:r>
          </w:p>
        </w:tc>
      </w:tr>
      <w:tr w:rsidR="00764B86" w:rsidRPr="003D4DCD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both"/>
              <w:rPr>
                <w:color w:val="auto"/>
                <w:lang w:val="uk-UA" w:eastAsia="uk-UA"/>
              </w:rPr>
            </w:pPr>
            <w:r w:rsidRPr="002A07AF">
              <w:rPr>
                <w:color w:val="auto"/>
                <w:lang w:val="uk-UA" w:eastAsia="uk-UA"/>
              </w:rPr>
              <w:t xml:space="preserve">Після завершення цього курсу </w:t>
            </w:r>
            <w:r w:rsidR="002A07AF" w:rsidRPr="002A07AF">
              <w:rPr>
                <w:color w:val="auto"/>
                <w:lang w:val="uk-UA" w:eastAsia="uk-UA"/>
              </w:rPr>
              <w:t xml:space="preserve">аспірант </w:t>
            </w:r>
            <w:r w:rsidRPr="002A07AF">
              <w:rPr>
                <w:color w:val="auto"/>
                <w:lang w:val="uk-UA" w:eastAsia="uk-UA"/>
              </w:rPr>
              <w:t xml:space="preserve">буде : </w:t>
            </w:r>
          </w:p>
          <w:p w:rsidR="00764B86" w:rsidRPr="002A07AF" w:rsidRDefault="00764B86" w:rsidP="00764B86">
            <w:pPr>
              <w:numPr>
                <w:ilvl w:val="0"/>
                <w:numId w:val="1"/>
              </w:numPr>
              <w:jc w:val="both"/>
              <w:rPr>
                <w:color w:val="auto"/>
                <w:lang w:val="uk-UA" w:eastAsia="uk-UA"/>
              </w:rPr>
            </w:pPr>
            <w:r w:rsidRPr="002A07AF">
              <w:rPr>
                <w:color w:val="auto"/>
                <w:lang w:val="uk-UA" w:eastAsia="uk-UA"/>
              </w:rPr>
              <w:t xml:space="preserve">Знати </w:t>
            </w:r>
          </w:p>
          <w:p w:rsidR="00D005EE" w:rsidRPr="002A07AF" w:rsidRDefault="00D005EE" w:rsidP="00D005EE">
            <w:pPr>
              <w:ind w:left="142"/>
              <w:jc w:val="both"/>
              <w:rPr>
                <w:color w:val="auto"/>
                <w:lang w:val="uk-UA" w:eastAsia="uk-UA"/>
              </w:rPr>
            </w:pPr>
            <w:r w:rsidRPr="002A07AF">
              <w:rPr>
                <w:color w:val="auto"/>
                <w:lang w:val="uk-UA" w:eastAsia="uk-UA"/>
              </w:rPr>
              <w:t>зміст</w:t>
            </w:r>
            <w:r w:rsidR="002B358D" w:rsidRPr="002A07AF">
              <w:rPr>
                <w:color w:val="auto"/>
                <w:lang w:val="uk-UA" w:eastAsia="uk-UA"/>
              </w:rPr>
              <w:t xml:space="preserve"> та</w:t>
            </w:r>
            <w:r w:rsidRPr="002A07AF">
              <w:rPr>
                <w:color w:val="auto"/>
                <w:lang w:val="uk-UA" w:eastAsia="uk-UA"/>
              </w:rPr>
              <w:t xml:space="preserve"> термінологічне окреслення понять “етнічна меншина”, </w:t>
            </w:r>
            <w:r w:rsidRPr="002A07AF">
              <w:rPr>
                <w:color w:val="auto"/>
                <w:lang w:val="uk-UA" w:eastAsia="uk-UA"/>
              </w:rPr>
              <w:lastRenderedPageBreak/>
              <w:t xml:space="preserve">“національна меншина”, “етнічна група”, “корінний народ”, “титульний народ”, основні етапи етнічної історії етнічних меншин на українській території, етногенез кримськотатарського народу; чинники зростання/зменшення етнічних спільнот на території України впродовж ХХ – початку ХХІ ст.; </w:t>
            </w:r>
            <w:r w:rsidR="002B358D" w:rsidRPr="002A07AF">
              <w:rPr>
                <w:color w:val="auto"/>
                <w:lang w:val="uk-UA" w:eastAsia="uk-UA"/>
              </w:rPr>
              <w:t xml:space="preserve">основні етапи </w:t>
            </w:r>
            <w:r w:rsidRPr="002A07AF">
              <w:rPr>
                <w:color w:val="auto"/>
                <w:lang w:val="uk-UA" w:eastAsia="uk-UA"/>
              </w:rPr>
              <w:t>культурн</w:t>
            </w:r>
            <w:r w:rsidR="002B358D" w:rsidRPr="002A07AF">
              <w:rPr>
                <w:color w:val="auto"/>
                <w:lang w:val="uk-UA" w:eastAsia="uk-UA"/>
              </w:rPr>
              <w:t>ого</w:t>
            </w:r>
            <w:r w:rsidRPr="002A07AF">
              <w:rPr>
                <w:color w:val="auto"/>
                <w:lang w:val="uk-UA" w:eastAsia="uk-UA"/>
              </w:rPr>
              <w:t xml:space="preserve"> розвитк</w:t>
            </w:r>
            <w:r w:rsidR="002B358D" w:rsidRPr="002A07AF">
              <w:rPr>
                <w:color w:val="auto"/>
                <w:lang w:val="uk-UA" w:eastAsia="uk-UA"/>
              </w:rPr>
              <w:t>у</w:t>
            </w:r>
            <w:r w:rsidRPr="002A07AF">
              <w:rPr>
                <w:color w:val="auto"/>
                <w:lang w:val="uk-UA" w:eastAsia="uk-UA"/>
              </w:rPr>
              <w:t xml:space="preserve"> </w:t>
            </w:r>
            <w:r w:rsidR="002B358D" w:rsidRPr="002A07AF">
              <w:rPr>
                <w:color w:val="auto"/>
                <w:lang w:val="uk-UA" w:eastAsia="uk-UA"/>
              </w:rPr>
              <w:t xml:space="preserve">етнічних </w:t>
            </w:r>
            <w:r w:rsidRPr="002A07AF">
              <w:rPr>
                <w:color w:val="auto"/>
                <w:lang w:val="uk-UA" w:eastAsia="uk-UA"/>
              </w:rPr>
              <w:t>меншин та корінних етносів України</w:t>
            </w:r>
          </w:p>
          <w:p w:rsidR="00764B86" w:rsidRPr="002A07AF" w:rsidRDefault="00764B86" w:rsidP="00764B86">
            <w:pPr>
              <w:numPr>
                <w:ilvl w:val="0"/>
                <w:numId w:val="1"/>
              </w:numPr>
              <w:jc w:val="both"/>
              <w:rPr>
                <w:color w:val="auto"/>
                <w:lang w:val="uk-UA" w:eastAsia="uk-UA"/>
              </w:rPr>
            </w:pPr>
            <w:r w:rsidRPr="002A07AF">
              <w:rPr>
                <w:color w:val="auto"/>
                <w:lang w:val="uk-UA" w:eastAsia="uk-UA"/>
              </w:rPr>
              <w:t xml:space="preserve">Вміти </w:t>
            </w:r>
          </w:p>
          <w:p w:rsidR="002B358D" w:rsidRPr="002A07AF" w:rsidRDefault="002B358D" w:rsidP="002B358D">
            <w:pPr>
              <w:ind w:left="142"/>
              <w:jc w:val="both"/>
              <w:rPr>
                <w:szCs w:val="28"/>
                <w:lang w:val="uk-UA"/>
              </w:rPr>
            </w:pPr>
            <w:r w:rsidRPr="002A07AF">
              <w:rPr>
                <w:color w:val="auto"/>
                <w:lang w:val="uk-UA" w:eastAsia="uk-UA"/>
              </w:rPr>
              <w:t xml:space="preserve">Виявляти та аналізувати основні джерела для дослідження змін етнічної структури українського суспільства; </w:t>
            </w:r>
            <w:r w:rsidRPr="003D4DCD">
              <w:rPr>
                <w:color w:val="auto"/>
                <w:lang w:val="uk-UA" w:eastAsia="uk-UA"/>
              </w:rPr>
              <w:t xml:space="preserve">окреслити поле дискусій навколо дефініції термінів “етнос”, “нація”, </w:t>
            </w:r>
            <w:proofErr w:type="spellStart"/>
            <w:r w:rsidRPr="003D4DCD">
              <w:rPr>
                <w:color w:val="auto"/>
                <w:lang w:val="uk-UA" w:eastAsia="uk-UA"/>
              </w:rPr>
              <w:t>“народ”</w:t>
            </w:r>
            <w:proofErr w:type="spellEnd"/>
            <w:r w:rsidRPr="003D4DCD">
              <w:rPr>
                <w:color w:val="auto"/>
                <w:lang w:val="uk-UA" w:eastAsia="uk-UA"/>
              </w:rPr>
              <w:t xml:space="preserve">, </w:t>
            </w:r>
            <w:proofErr w:type="spellStart"/>
            <w:r w:rsidRPr="003D4DCD">
              <w:rPr>
                <w:color w:val="auto"/>
                <w:lang w:val="uk-UA" w:eastAsia="uk-UA"/>
              </w:rPr>
              <w:t>“раса”</w:t>
            </w:r>
            <w:proofErr w:type="spellEnd"/>
            <w:r w:rsidRPr="003D4DCD">
              <w:rPr>
                <w:color w:val="auto"/>
                <w:lang w:val="uk-UA" w:eastAsia="uk-UA"/>
              </w:rPr>
              <w:t xml:space="preserve"> та </w:t>
            </w:r>
            <w:proofErr w:type="spellStart"/>
            <w:r w:rsidRPr="003D4DCD">
              <w:rPr>
                <w:color w:val="auto"/>
                <w:lang w:val="uk-UA" w:eastAsia="uk-UA"/>
              </w:rPr>
              <w:t>дефініювати</w:t>
            </w:r>
            <w:proofErr w:type="spellEnd"/>
            <w:r w:rsidRPr="003D4DCD">
              <w:rPr>
                <w:color w:val="auto"/>
                <w:lang w:val="uk-UA" w:eastAsia="uk-UA"/>
              </w:rPr>
              <w:t xml:space="preserve"> такі </w:t>
            </w:r>
            <w:proofErr w:type="spellStart"/>
            <w:r w:rsidRPr="003D4DCD">
              <w:rPr>
                <w:color w:val="auto"/>
                <w:lang w:val="uk-UA" w:eastAsia="uk-UA"/>
              </w:rPr>
              <w:t>етносоціологічні</w:t>
            </w:r>
            <w:proofErr w:type="spellEnd"/>
            <w:r w:rsidRPr="003D4DCD">
              <w:rPr>
                <w:color w:val="auto"/>
                <w:lang w:val="uk-UA" w:eastAsia="uk-UA"/>
              </w:rPr>
              <w:t xml:space="preserve"> категорії як “етнічна група”, “етнографічна група”, “етнічна меншина”; аналізувати фактичний матеріал під кутом зору етногенезу та </w:t>
            </w:r>
            <w:proofErr w:type="spellStart"/>
            <w:r w:rsidRPr="003D4DCD">
              <w:rPr>
                <w:color w:val="auto"/>
                <w:lang w:val="uk-UA" w:eastAsia="uk-UA"/>
              </w:rPr>
              <w:t>націогенезу</w:t>
            </w:r>
            <w:proofErr w:type="spellEnd"/>
            <w:r w:rsidRPr="002A07AF">
              <w:rPr>
                <w:szCs w:val="28"/>
                <w:lang w:val="uk-UA"/>
              </w:rPr>
              <w:t xml:space="preserve">, робити самостійні висновки на основі опрацьованої літератури. </w:t>
            </w:r>
            <w:r w:rsidRPr="002A07AF">
              <w:rPr>
                <w:sz w:val="22"/>
                <w:lang w:val="uk-UA"/>
              </w:rPr>
              <w:t xml:space="preserve">Володіти необхідною теоретичною та методологічною основою для критичного осмислення, використання та </w:t>
            </w:r>
            <w:proofErr w:type="spellStart"/>
            <w:r w:rsidRPr="002A07AF">
              <w:rPr>
                <w:sz w:val="22"/>
                <w:lang w:val="uk-UA"/>
              </w:rPr>
              <w:t>триангулювання</w:t>
            </w:r>
            <w:proofErr w:type="spellEnd"/>
            <w:r w:rsidRPr="002A07AF">
              <w:rPr>
                <w:sz w:val="22"/>
                <w:lang w:val="uk-UA"/>
              </w:rPr>
              <w:t xml:space="preserve"> методів, що використовуються в </w:t>
            </w:r>
            <w:proofErr w:type="spellStart"/>
            <w:r w:rsidRPr="002A07AF">
              <w:rPr>
                <w:sz w:val="22"/>
                <w:lang w:val="uk-UA"/>
              </w:rPr>
              <w:t>етносоціологічних</w:t>
            </w:r>
            <w:proofErr w:type="spellEnd"/>
            <w:r w:rsidRPr="002A07AF">
              <w:rPr>
                <w:sz w:val="22"/>
                <w:lang w:val="uk-UA"/>
              </w:rPr>
              <w:t xml:space="preserve"> дослідженнях.</w:t>
            </w:r>
          </w:p>
          <w:p w:rsidR="00764B86" w:rsidRPr="002A07AF" w:rsidRDefault="00764B86" w:rsidP="004E2A61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764B86" w:rsidRPr="003D4DCD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2B358D" w:rsidP="002B358D">
            <w:pPr>
              <w:ind w:left="142"/>
              <w:jc w:val="both"/>
              <w:rPr>
                <w:lang w:val="uk-UA"/>
              </w:rPr>
            </w:pPr>
            <w:r w:rsidRPr="002A07AF">
              <w:rPr>
                <w:sz w:val="22"/>
                <w:lang w:val="uk-UA"/>
              </w:rPr>
              <w:t>структура, склад, етнос, нація, етнічна структура, етнічний склад, корінний етнос, етнічна меншина, етнічні маргінали, етнічні категорії</w:t>
            </w:r>
          </w:p>
        </w:tc>
      </w:tr>
      <w:tr w:rsidR="00764B86" w:rsidRPr="002A07AF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764B86" w:rsidRPr="003D4DCD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2B358D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 xml:space="preserve">Проведення лекцій, </w:t>
            </w:r>
            <w:r w:rsidR="002B358D" w:rsidRPr="002A07AF">
              <w:rPr>
                <w:color w:val="auto"/>
                <w:lang w:val="uk-UA"/>
              </w:rPr>
              <w:t>практичних</w:t>
            </w:r>
            <w:r w:rsidRPr="002A07AF">
              <w:rPr>
                <w:color w:val="auto"/>
                <w:lang w:val="uk-UA"/>
              </w:rPr>
              <w:t xml:space="preserve"> робіт та консультації для кращого розуміння тем</w:t>
            </w:r>
          </w:p>
        </w:tc>
      </w:tr>
      <w:tr w:rsidR="00764B86" w:rsidRPr="003D4DCD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3D4DCD" w:rsidRDefault="00EE2127" w:rsidP="00EE2127">
            <w:pPr>
              <w:ind w:left="142"/>
              <w:jc w:val="both"/>
              <w:rPr>
                <w:lang w:val="uk-UA"/>
              </w:rPr>
            </w:pPr>
            <w:r w:rsidRPr="003D4DCD">
              <w:rPr>
                <w:lang w:val="uk-UA"/>
              </w:rPr>
              <w:t xml:space="preserve">• “Етнічна меншина”, “національна меншина”, “етнічна група”, “корінний </w:t>
            </w:r>
            <w:proofErr w:type="spellStart"/>
            <w:r w:rsidRPr="003D4DCD">
              <w:rPr>
                <w:lang w:val="uk-UA"/>
              </w:rPr>
              <w:t>народ”</w:t>
            </w:r>
            <w:proofErr w:type="spellEnd"/>
            <w:r w:rsidRPr="003D4DCD">
              <w:rPr>
                <w:lang w:val="uk-UA"/>
              </w:rPr>
              <w:t xml:space="preserve">, </w:t>
            </w:r>
            <w:proofErr w:type="spellStart"/>
            <w:r w:rsidRPr="003D4DCD">
              <w:rPr>
                <w:lang w:val="uk-UA"/>
              </w:rPr>
              <w:t>“титульний</w:t>
            </w:r>
            <w:proofErr w:type="spellEnd"/>
            <w:r w:rsidRPr="003D4DCD">
              <w:rPr>
                <w:lang w:val="uk-UA"/>
              </w:rPr>
              <w:t xml:space="preserve"> </w:t>
            </w:r>
            <w:proofErr w:type="spellStart"/>
            <w:r w:rsidRPr="003D4DCD">
              <w:rPr>
                <w:lang w:val="uk-UA"/>
              </w:rPr>
              <w:t>народ”</w:t>
            </w:r>
            <w:proofErr w:type="spellEnd"/>
            <w:r w:rsidRPr="003D4DCD">
              <w:rPr>
                <w:lang w:val="uk-UA"/>
              </w:rPr>
              <w:t>: понятійно-термінологічне окреслення</w:t>
            </w:r>
          </w:p>
          <w:p w:rsidR="00EE2127" w:rsidRPr="003D4DCD" w:rsidRDefault="00EE2127" w:rsidP="00EE2127">
            <w:pPr>
              <w:ind w:left="142"/>
              <w:rPr>
                <w:lang w:val="uk-UA"/>
              </w:rPr>
            </w:pPr>
            <w:r w:rsidRPr="003D4DCD">
              <w:rPr>
                <w:lang w:val="uk-UA"/>
              </w:rPr>
              <w:t xml:space="preserve">• Поява перших етнічних меншин на українській території. Німецькі, вірменські, єврейські та польські громади в часи Середньовіччя – раннього Нового часу. </w:t>
            </w:r>
          </w:p>
          <w:p w:rsidR="00EE2127" w:rsidRPr="003D4DCD" w:rsidRDefault="00EE2127" w:rsidP="00EE2127">
            <w:pPr>
              <w:ind w:left="142"/>
              <w:rPr>
                <w:lang w:val="uk-UA"/>
              </w:rPr>
            </w:pPr>
            <w:r w:rsidRPr="003D4DCD">
              <w:rPr>
                <w:lang w:val="uk-UA"/>
              </w:rPr>
              <w:t xml:space="preserve">• Етногенез кримськотатарського народу. Караїми, гагаузи та євреї на території України. </w:t>
            </w:r>
          </w:p>
          <w:p w:rsidR="00EE2127" w:rsidRPr="003D4DCD" w:rsidRDefault="00EE2127" w:rsidP="00EE2127">
            <w:pPr>
              <w:ind w:left="142"/>
              <w:rPr>
                <w:lang w:val="uk-UA"/>
              </w:rPr>
            </w:pPr>
            <w:r w:rsidRPr="003D4DCD">
              <w:rPr>
                <w:lang w:val="uk-UA"/>
              </w:rPr>
              <w:t xml:space="preserve">• Вплив перебування українських етнічних земель у складі іноземних держав на збільшення кількості на них поляків, угорців, румунів та росіян. </w:t>
            </w:r>
          </w:p>
          <w:p w:rsidR="00EE2127" w:rsidRPr="003D4DCD" w:rsidRDefault="00EE2127" w:rsidP="00EE2127">
            <w:pPr>
              <w:ind w:left="142"/>
              <w:rPr>
                <w:lang w:val="uk-UA"/>
              </w:rPr>
            </w:pPr>
            <w:r w:rsidRPr="003D4DCD">
              <w:rPr>
                <w:lang w:val="uk-UA"/>
              </w:rPr>
              <w:t xml:space="preserve">• Переписи населення кінця ХІХ – початку ХХІ ст. – основне джерело для дослідження змін етнічної структури українського суспільства. </w:t>
            </w:r>
          </w:p>
          <w:p w:rsidR="00EE2127" w:rsidRPr="003D4DCD" w:rsidRDefault="00EE2127" w:rsidP="00EE2127">
            <w:pPr>
              <w:ind w:left="142"/>
              <w:rPr>
                <w:lang w:val="uk-UA"/>
              </w:rPr>
            </w:pPr>
            <w:r w:rsidRPr="003D4DCD">
              <w:rPr>
                <w:lang w:val="uk-UA"/>
              </w:rPr>
              <w:t xml:space="preserve">• Чинники зростання/зменшення етнічних спільнот на території України впродовж ХХ – початку ХХІ ст. </w:t>
            </w:r>
          </w:p>
          <w:p w:rsidR="00EE2127" w:rsidRPr="003D4DCD" w:rsidRDefault="00EE2127" w:rsidP="00EE2127">
            <w:pPr>
              <w:ind w:left="142"/>
              <w:jc w:val="both"/>
              <w:rPr>
                <w:lang w:val="uk-UA"/>
              </w:rPr>
            </w:pPr>
            <w:r w:rsidRPr="003D4DCD">
              <w:rPr>
                <w:lang w:val="uk-UA"/>
              </w:rPr>
              <w:t>• Культурний розвиток головних національних меншин та корінних етносів України</w:t>
            </w:r>
          </w:p>
        </w:tc>
      </w:tr>
      <w:tr w:rsidR="00764B86" w:rsidRPr="003D4DCD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3D4DCD" w:rsidRDefault="00EE2127" w:rsidP="00EE2127">
            <w:pPr>
              <w:jc w:val="both"/>
              <w:rPr>
                <w:color w:val="auto"/>
                <w:lang w:val="uk-UA"/>
              </w:rPr>
            </w:pPr>
            <w:r w:rsidRPr="003D4DCD">
              <w:rPr>
                <w:color w:val="auto"/>
                <w:lang w:val="uk-UA"/>
              </w:rPr>
              <w:t xml:space="preserve">письмовий </w:t>
            </w:r>
            <w:r w:rsidR="00764B86" w:rsidRPr="003D4DCD">
              <w:rPr>
                <w:color w:val="auto"/>
                <w:lang w:val="uk-UA"/>
              </w:rPr>
              <w:t>іспит</w:t>
            </w:r>
            <w:r w:rsidRPr="003D4DCD">
              <w:rPr>
                <w:color w:val="auto"/>
                <w:lang w:val="uk-UA"/>
              </w:rPr>
              <w:t xml:space="preserve"> </w:t>
            </w:r>
            <w:r w:rsidR="00764B86" w:rsidRPr="003D4DCD">
              <w:rPr>
                <w:color w:val="auto"/>
                <w:lang w:val="uk-UA"/>
              </w:rPr>
              <w:t>в кінці семестру</w:t>
            </w:r>
          </w:p>
        </w:tc>
      </w:tr>
      <w:tr w:rsidR="00764B86" w:rsidRPr="003D4DCD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A07AF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3D4DCD" w:rsidRDefault="00764B86" w:rsidP="002A07AF">
            <w:pPr>
              <w:jc w:val="both"/>
              <w:rPr>
                <w:color w:val="auto"/>
                <w:lang w:val="uk-UA"/>
              </w:rPr>
            </w:pPr>
            <w:r w:rsidRPr="003D4DCD">
              <w:rPr>
                <w:color w:val="auto"/>
                <w:lang w:val="uk-UA"/>
              </w:rPr>
              <w:t xml:space="preserve">Для вивчення курсу </w:t>
            </w:r>
            <w:r w:rsidR="002A07AF" w:rsidRPr="003D4DCD">
              <w:rPr>
                <w:color w:val="auto"/>
                <w:lang w:val="uk-UA"/>
              </w:rPr>
              <w:t xml:space="preserve">аспіранти </w:t>
            </w:r>
            <w:r w:rsidRPr="003D4DCD">
              <w:rPr>
                <w:color w:val="auto"/>
                <w:lang w:val="uk-UA"/>
              </w:rPr>
              <w:t xml:space="preserve">потребують базових знань з </w:t>
            </w:r>
            <w:r w:rsidR="00EE2127" w:rsidRPr="003D4DCD">
              <w:rPr>
                <w:color w:val="auto"/>
                <w:lang w:val="uk-UA"/>
              </w:rPr>
              <w:t xml:space="preserve">історичних </w:t>
            </w:r>
            <w:r w:rsidRPr="003D4DCD">
              <w:rPr>
                <w:color w:val="auto"/>
                <w:lang w:val="uk-UA"/>
              </w:rPr>
              <w:t xml:space="preserve"> дисциплін, достатніх для сприйняття категоріального апарату, розуміння </w:t>
            </w:r>
            <w:r w:rsidR="00EE2127" w:rsidRPr="003D4DCD">
              <w:rPr>
                <w:color w:val="auto"/>
                <w:lang w:val="uk-UA"/>
              </w:rPr>
              <w:t xml:space="preserve">джерел з історії етнічних меншин на території України та </w:t>
            </w:r>
            <w:proofErr w:type="spellStart"/>
            <w:r w:rsidR="00EE2127" w:rsidRPr="003D4DCD">
              <w:rPr>
                <w:color w:val="auto"/>
                <w:lang w:val="uk-UA"/>
              </w:rPr>
              <w:t>націогенезу</w:t>
            </w:r>
            <w:proofErr w:type="spellEnd"/>
            <w:r w:rsidR="00EE2127" w:rsidRPr="003D4DCD">
              <w:rPr>
                <w:color w:val="auto"/>
                <w:lang w:val="uk-UA"/>
              </w:rPr>
              <w:t xml:space="preserve"> українців.</w:t>
            </w:r>
          </w:p>
        </w:tc>
      </w:tr>
      <w:tr w:rsidR="00764B86" w:rsidRPr="003D4DCD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3D4DCD" w:rsidRDefault="00EE2127" w:rsidP="00EE2127">
            <w:pPr>
              <w:jc w:val="both"/>
              <w:rPr>
                <w:lang w:val="uk-UA"/>
              </w:rPr>
            </w:pPr>
            <w:r w:rsidRPr="003D4DCD">
              <w:rPr>
                <w:i/>
                <w:lang w:val="uk-UA"/>
              </w:rPr>
              <w:t xml:space="preserve">Лекційний виклад </w:t>
            </w:r>
            <w:r w:rsidRPr="003D4DCD">
              <w:rPr>
                <w:lang w:val="uk-UA"/>
              </w:rPr>
              <w:t>(використовуються викладачем для теоретичного вступу та пояснення окремих аспектів теми, що вивчається).</w:t>
            </w:r>
          </w:p>
          <w:p w:rsidR="00EE2127" w:rsidRPr="003D4DCD" w:rsidRDefault="00EE2127" w:rsidP="00EE2127">
            <w:pPr>
              <w:jc w:val="both"/>
              <w:rPr>
                <w:lang w:val="uk-UA"/>
              </w:rPr>
            </w:pPr>
            <w:r w:rsidRPr="003D4DCD">
              <w:rPr>
                <w:i/>
                <w:lang w:val="uk-UA"/>
              </w:rPr>
              <w:t xml:space="preserve">презентації </w:t>
            </w:r>
            <w:r w:rsidRPr="003D4DCD">
              <w:rPr>
                <w:lang w:val="uk-UA"/>
              </w:rPr>
              <w:t xml:space="preserve">(викладання матеріалу самими аспірантами), </w:t>
            </w:r>
          </w:p>
          <w:p w:rsidR="00EE2127" w:rsidRPr="003D4DCD" w:rsidRDefault="00EE2127" w:rsidP="00EE2127">
            <w:pPr>
              <w:jc w:val="both"/>
              <w:rPr>
                <w:lang w:val="uk-UA"/>
              </w:rPr>
            </w:pPr>
            <w:r w:rsidRPr="003D4DCD">
              <w:rPr>
                <w:i/>
                <w:lang w:val="uk-UA"/>
              </w:rPr>
              <w:t>робота у парах та малих групах</w:t>
            </w:r>
            <w:r w:rsidRPr="003D4DCD">
              <w:rPr>
                <w:lang w:val="uk-UA"/>
              </w:rPr>
              <w:t xml:space="preserve"> (виконання групами аспірантів певних завдань під час практичних занять та обговорення отриманих результатів),</w:t>
            </w:r>
          </w:p>
          <w:p w:rsidR="00EE2127" w:rsidRPr="003D4DCD" w:rsidRDefault="00EE2127" w:rsidP="00EE2127">
            <w:pPr>
              <w:jc w:val="both"/>
              <w:rPr>
                <w:lang w:val="uk-UA"/>
              </w:rPr>
            </w:pPr>
            <w:r w:rsidRPr="003D4DCD">
              <w:rPr>
                <w:i/>
                <w:lang w:val="uk-UA"/>
              </w:rPr>
              <w:t xml:space="preserve">німа дискусія </w:t>
            </w:r>
            <w:r w:rsidRPr="003D4DCD">
              <w:rPr>
                <w:lang w:val="uk-UA"/>
              </w:rPr>
              <w:t>(письмове групове обговорення заданих тем),</w:t>
            </w:r>
          </w:p>
          <w:p w:rsidR="00EE2127" w:rsidRPr="003D4DCD" w:rsidRDefault="00EE2127" w:rsidP="00EE2127">
            <w:pPr>
              <w:jc w:val="both"/>
              <w:rPr>
                <w:lang w:val="uk-UA"/>
              </w:rPr>
            </w:pPr>
            <w:r w:rsidRPr="003D4DCD">
              <w:rPr>
                <w:i/>
                <w:lang w:val="uk-UA"/>
              </w:rPr>
              <w:t>мозковий штурм, блискавка</w:t>
            </w:r>
            <w:r w:rsidRPr="003D4DCD">
              <w:rPr>
                <w:lang w:val="uk-UA"/>
              </w:rPr>
              <w:t xml:space="preserve"> (орієнтація роботи групи на глибше </w:t>
            </w:r>
            <w:r w:rsidRPr="003D4DCD">
              <w:rPr>
                <w:lang w:val="uk-UA"/>
              </w:rPr>
              <w:lastRenderedPageBreak/>
              <w:t>розкриття змісту заданої теми та вироблення комунікативних навичок),</w:t>
            </w:r>
          </w:p>
          <w:p w:rsidR="00EE2127" w:rsidRPr="003D4DCD" w:rsidRDefault="00EE2127" w:rsidP="00EE2127">
            <w:pPr>
              <w:jc w:val="both"/>
              <w:rPr>
                <w:lang w:val="uk-UA"/>
              </w:rPr>
            </w:pPr>
            <w:r w:rsidRPr="003D4DCD">
              <w:rPr>
                <w:i/>
                <w:lang w:val="uk-UA"/>
              </w:rPr>
              <w:t>диспут</w:t>
            </w:r>
            <w:r w:rsidRPr="003D4DCD">
              <w:rPr>
                <w:lang w:val="uk-UA"/>
              </w:rPr>
              <w:t xml:space="preserve"> – форма проведення підсумкового заняття у формі дискусії. Складається з двох частин – підготовки групою аспірантів теоретичного завдання і диспуту в аудиторії,</w:t>
            </w:r>
          </w:p>
          <w:p w:rsidR="00EE2127" w:rsidRPr="003D4DCD" w:rsidRDefault="00EE2127" w:rsidP="00EE2127">
            <w:pPr>
              <w:jc w:val="both"/>
              <w:rPr>
                <w:lang w:val="uk-UA"/>
              </w:rPr>
            </w:pPr>
            <w:r w:rsidRPr="003D4DCD">
              <w:rPr>
                <w:i/>
                <w:lang w:val="uk-UA"/>
              </w:rPr>
              <w:t>круглий стіл</w:t>
            </w:r>
            <w:r w:rsidRPr="003D4DCD">
              <w:rPr>
                <w:lang w:val="uk-UA"/>
              </w:rPr>
              <w:t xml:space="preserve"> (аспіранти презентують свої проекти та обговорюють їх),</w:t>
            </w:r>
          </w:p>
          <w:p w:rsidR="00EE2127" w:rsidRPr="003D4DCD" w:rsidRDefault="00EE2127" w:rsidP="00EE2127">
            <w:pPr>
              <w:jc w:val="both"/>
              <w:rPr>
                <w:color w:val="auto"/>
                <w:lang w:val="uk-UA"/>
              </w:rPr>
            </w:pPr>
            <w:r w:rsidRPr="003D4DCD">
              <w:rPr>
                <w:i/>
                <w:lang w:val="uk-UA"/>
              </w:rPr>
              <w:t>використання аудіо-візуальних матеріалів</w:t>
            </w:r>
            <w:r w:rsidRPr="003D4DCD">
              <w:rPr>
                <w:lang w:val="uk-UA"/>
              </w:rPr>
              <w:t xml:space="preserve"> (фото, ілюстрації і т.д.),</w:t>
            </w:r>
          </w:p>
        </w:tc>
      </w:tr>
      <w:tr w:rsidR="00764B86" w:rsidRPr="003D4DCD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 xml:space="preserve">Із урахуванням особливостей навчальної дисципліни. </w:t>
            </w:r>
            <w:r w:rsidRPr="002A07AF">
              <w:rPr>
                <w:lang w:val="uk-UA"/>
              </w:rPr>
              <w:t>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w:rsidR="00764B86" w:rsidRPr="003D4DCD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AF" w:rsidRPr="002A07AF" w:rsidRDefault="002A07AF" w:rsidP="002A07AF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lang w:val="uk-UA"/>
              </w:rPr>
              <w:t xml:space="preserve">Система оцінювання передбачає комплексне оцінювання роботи </w:t>
            </w:r>
            <w:r w:rsidR="00D27DFC">
              <w:rPr>
                <w:color w:val="auto"/>
                <w:lang w:val="uk-UA"/>
              </w:rPr>
              <w:t>аспірантів</w:t>
            </w:r>
            <w:r w:rsidR="00D27DFC" w:rsidRPr="002A07AF">
              <w:rPr>
                <w:lang w:val="uk-UA"/>
              </w:rPr>
              <w:t xml:space="preserve"> </w:t>
            </w:r>
            <w:r w:rsidRPr="002A07AF">
              <w:rPr>
                <w:lang w:val="uk-UA"/>
              </w:rPr>
              <w:t xml:space="preserve">на лекціях, семінарах, практичних заняттях, їх індивідуальної роботи. У курсі передбачено наступні форми оцінювання роботи </w:t>
            </w:r>
            <w:r w:rsidRPr="002A07AF">
              <w:rPr>
                <w:color w:val="auto"/>
                <w:lang w:val="uk-UA"/>
              </w:rPr>
              <w:t>аспірантів</w:t>
            </w:r>
          </w:p>
          <w:p w:rsidR="00764B86" w:rsidRPr="002A07AF" w:rsidRDefault="00764B86" w:rsidP="004E2A61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2A07AF">
              <w:rPr>
                <w:color w:val="auto"/>
                <w:lang w:val="uk-UA"/>
              </w:rPr>
              <w:t>співідношенням</w:t>
            </w:r>
            <w:proofErr w:type="spellEnd"/>
            <w:r w:rsidRPr="002A07AF">
              <w:rPr>
                <w:color w:val="auto"/>
                <w:lang w:val="uk-UA"/>
              </w:rPr>
              <w:t xml:space="preserve">: </w:t>
            </w:r>
          </w:p>
          <w:p w:rsidR="00764B86" w:rsidRPr="002A07AF" w:rsidRDefault="00764B86" w:rsidP="004E2A61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• практичні/самостійні тощо : 25% семестрової оцінки; максимальна кількість балів</w:t>
            </w:r>
            <w:r w:rsidR="00EE2127" w:rsidRPr="002A07AF">
              <w:rPr>
                <w:color w:val="auto"/>
                <w:lang w:val="uk-UA"/>
              </w:rPr>
              <w:t xml:space="preserve"> 25</w:t>
            </w:r>
          </w:p>
          <w:p w:rsidR="00764B86" w:rsidRPr="002A07AF" w:rsidRDefault="00764B86" w:rsidP="004E2A61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• контрольні заміри (модулі): 25% семестрової оцінки; максимальна кількість балів</w:t>
            </w:r>
            <w:r w:rsidR="00EE2127" w:rsidRPr="002A07AF">
              <w:rPr>
                <w:color w:val="auto"/>
                <w:lang w:val="uk-UA"/>
              </w:rPr>
              <w:t xml:space="preserve"> 25</w:t>
            </w:r>
          </w:p>
          <w:p w:rsidR="00764B86" w:rsidRPr="002A07AF" w:rsidRDefault="00764B86" w:rsidP="004E2A61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 xml:space="preserve"> • іспит: 50% семестрової оцінки. Максимальна кількість балів</w:t>
            </w:r>
            <w:r w:rsidR="00EE2127" w:rsidRPr="002A07AF">
              <w:rPr>
                <w:color w:val="auto"/>
                <w:lang w:val="uk-UA"/>
              </w:rPr>
              <w:t xml:space="preserve"> 50</w:t>
            </w:r>
          </w:p>
          <w:p w:rsidR="00764B86" w:rsidRPr="002A07AF" w:rsidRDefault="00764B86" w:rsidP="004E2A61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Підсумкова максимальна кількість балів</w:t>
            </w:r>
            <w:r w:rsidR="00EE2127" w:rsidRPr="002A07AF">
              <w:rPr>
                <w:color w:val="auto"/>
                <w:lang w:val="uk-UA"/>
              </w:rPr>
              <w:t xml:space="preserve"> 100</w:t>
            </w:r>
          </w:p>
          <w:p w:rsidR="002A07AF" w:rsidRPr="002A07AF" w:rsidRDefault="002A07AF" w:rsidP="004E2A61">
            <w:pPr>
              <w:jc w:val="both"/>
              <w:rPr>
                <w:color w:val="auto"/>
                <w:lang w:val="uk-UA"/>
              </w:rPr>
            </w:pPr>
          </w:p>
          <w:p w:rsidR="00764B86" w:rsidRPr="002A07AF" w:rsidRDefault="00764B86" w:rsidP="004E2A61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b/>
                <w:lang w:val="uk-UA"/>
              </w:rPr>
              <w:t>Письмові роботи:</w:t>
            </w:r>
            <w:r w:rsidRPr="002A07AF">
              <w:rPr>
                <w:lang w:val="uk-UA"/>
              </w:rPr>
              <w:t xml:space="preserve"> Очікується, що </w:t>
            </w:r>
            <w:r w:rsidR="002A07AF">
              <w:rPr>
                <w:color w:val="auto"/>
                <w:lang w:val="uk-UA"/>
              </w:rPr>
              <w:t>аспіранти</w:t>
            </w:r>
            <w:r w:rsidR="002A07AF" w:rsidRPr="002A07AF">
              <w:rPr>
                <w:lang w:val="uk-UA"/>
              </w:rPr>
              <w:t xml:space="preserve"> </w:t>
            </w:r>
            <w:r w:rsidRPr="002A07AF">
              <w:rPr>
                <w:lang w:val="uk-UA"/>
              </w:rPr>
              <w:t xml:space="preserve">виконають декілька видів письмових робіт. </w:t>
            </w:r>
            <w:r w:rsidRPr="002A07AF">
              <w:rPr>
                <w:b/>
                <w:lang w:val="uk-UA"/>
              </w:rPr>
              <w:t>Академічна доброчесність</w:t>
            </w:r>
            <w:r w:rsidRPr="002A07AF">
              <w:rPr>
                <w:lang w:val="uk-UA"/>
              </w:rPr>
              <w:t xml:space="preserve">: Очікується, що роботи </w:t>
            </w:r>
            <w:r w:rsidR="002A07AF">
              <w:rPr>
                <w:color w:val="auto"/>
                <w:lang w:val="uk-UA"/>
              </w:rPr>
              <w:t>аспірантів</w:t>
            </w:r>
            <w:r w:rsidR="002A07AF" w:rsidRPr="002A07AF">
              <w:rPr>
                <w:lang w:val="uk-UA"/>
              </w:rPr>
              <w:t xml:space="preserve"> </w:t>
            </w:r>
            <w:r w:rsidRPr="002A07AF">
              <w:rPr>
                <w:lang w:val="uk-UA"/>
              </w:rPr>
              <w:t xml:space="preserve">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="002A07AF">
              <w:rPr>
                <w:color w:val="auto"/>
                <w:lang w:val="uk-UA"/>
              </w:rPr>
              <w:t>аспірантів</w:t>
            </w:r>
            <w:r w:rsidR="002A07AF" w:rsidRPr="002A07AF">
              <w:rPr>
                <w:lang w:val="uk-UA"/>
              </w:rPr>
              <w:t xml:space="preserve"> </w:t>
            </w:r>
            <w:r w:rsidRPr="002A07AF">
              <w:rPr>
                <w:lang w:val="uk-UA"/>
              </w:rPr>
              <w:t xml:space="preserve">становлять, але не обмежують, приклади можливої академічної </w:t>
            </w:r>
            <w:proofErr w:type="spellStart"/>
            <w:r w:rsidRPr="002A07AF">
              <w:rPr>
                <w:lang w:val="uk-UA"/>
              </w:rPr>
              <w:t>недоброчесності</w:t>
            </w:r>
            <w:proofErr w:type="spellEnd"/>
            <w:r w:rsidRPr="002A07AF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2A07AF">
              <w:rPr>
                <w:lang w:val="uk-UA"/>
              </w:rPr>
              <w:t>недоброчесності</w:t>
            </w:r>
            <w:proofErr w:type="spellEnd"/>
            <w:r w:rsidRPr="002A07AF">
              <w:rPr>
                <w:lang w:val="uk-UA"/>
              </w:rPr>
              <w:t xml:space="preserve"> в письмовій роботі </w:t>
            </w:r>
            <w:r w:rsidR="002A07AF">
              <w:rPr>
                <w:color w:val="auto"/>
                <w:lang w:val="uk-UA"/>
              </w:rPr>
              <w:t>аспіранта</w:t>
            </w:r>
            <w:r w:rsidR="002A07AF" w:rsidRPr="002A07AF">
              <w:rPr>
                <w:lang w:val="uk-UA"/>
              </w:rPr>
              <w:t xml:space="preserve"> </w:t>
            </w:r>
            <w:r w:rsidRPr="002A07AF">
              <w:rPr>
                <w:lang w:val="uk-UA"/>
              </w:rPr>
              <w:t xml:space="preserve">є підставою для її </w:t>
            </w:r>
            <w:proofErr w:type="spellStart"/>
            <w:r w:rsidRPr="002A07AF">
              <w:rPr>
                <w:lang w:val="uk-UA"/>
              </w:rPr>
              <w:t>незарахуванння</w:t>
            </w:r>
            <w:proofErr w:type="spellEnd"/>
            <w:r w:rsidRPr="002A07AF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2A07AF">
              <w:rPr>
                <w:b/>
                <w:lang w:val="uk-UA"/>
              </w:rPr>
              <w:t>Відвідання занять</w:t>
            </w:r>
            <w:r w:rsidRPr="002A07AF">
              <w:rPr>
                <w:lang w:val="uk-UA"/>
              </w:rPr>
              <w:t xml:space="preserve"> є важливою складовою навчання. Очікується, що всі </w:t>
            </w:r>
            <w:r w:rsidR="002A07AF">
              <w:rPr>
                <w:color w:val="auto"/>
                <w:lang w:val="uk-UA"/>
              </w:rPr>
              <w:t>аспіранти</w:t>
            </w:r>
            <w:r w:rsidR="002A07AF" w:rsidRPr="002A07AF">
              <w:rPr>
                <w:lang w:val="uk-UA"/>
              </w:rPr>
              <w:t xml:space="preserve"> </w:t>
            </w:r>
            <w:r w:rsidRPr="002A07AF">
              <w:rPr>
                <w:lang w:val="uk-UA"/>
              </w:rPr>
              <w:t xml:space="preserve">відвідають усі лекції і практичні заняття курсу. </w:t>
            </w:r>
            <w:r w:rsidR="00EE2127" w:rsidRPr="002A07AF">
              <w:rPr>
                <w:lang w:val="uk-UA"/>
              </w:rPr>
              <w:t>Аспіранти</w:t>
            </w:r>
            <w:r w:rsidRPr="002A07AF">
              <w:rPr>
                <w:lang w:val="uk-UA"/>
              </w:rPr>
              <w:t xml:space="preserve"> мають інформувати викладача про неможливість відвідати заняття. У будь-якому випадку </w:t>
            </w:r>
            <w:r w:rsidR="00EE2127" w:rsidRPr="002A07AF">
              <w:rPr>
                <w:lang w:val="uk-UA"/>
              </w:rPr>
              <w:t>аспіранти</w:t>
            </w:r>
            <w:r w:rsidRPr="002A07AF">
              <w:rPr>
                <w:lang w:val="uk-UA"/>
              </w:rPr>
              <w:t xml:space="preserve"> зобов’язані дотримуватися усіх строків визначених для виконання усіх видів письмових робіт, передбачених курсом. </w:t>
            </w:r>
            <w:r w:rsidRPr="002A07AF">
              <w:rPr>
                <w:b/>
                <w:lang w:val="uk-UA"/>
              </w:rPr>
              <w:t>Література.</w:t>
            </w:r>
            <w:r w:rsidRPr="002A07AF">
              <w:rPr>
                <w:lang w:val="uk-UA"/>
              </w:rPr>
              <w:t xml:space="preserve"> Уся література, яку </w:t>
            </w:r>
            <w:r w:rsidR="002A07AF">
              <w:rPr>
                <w:color w:val="auto"/>
                <w:lang w:val="uk-UA"/>
              </w:rPr>
              <w:t>аспіранти</w:t>
            </w:r>
            <w:r w:rsidR="002A07AF" w:rsidRPr="002A07AF">
              <w:rPr>
                <w:lang w:val="uk-UA"/>
              </w:rPr>
              <w:t xml:space="preserve"> </w:t>
            </w:r>
            <w:r w:rsidRPr="002A07AF">
              <w:rPr>
                <w:lang w:val="uk-UA"/>
              </w:rPr>
              <w:t xml:space="preserve">не зможуть знайти самостійно, буде надана викладачем виключно в освітніх цілях без права її передачі третім особам. </w:t>
            </w:r>
            <w:r w:rsidR="002A07AF">
              <w:rPr>
                <w:lang w:val="uk-UA"/>
              </w:rPr>
              <w:t>А</w:t>
            </w:r>
            <w:r w:rsidR="002A07AF">
              <w:rPr>
                <w:color w:val="auto"/>
                <w:lang w:val="uk-UA"/>
              </w:rPr>
              <w:t>спіранти</w:t>
            </w:r>
            <w:r w:rsidR="002A07AF" w:rsidRPr="002A07AF">
              <w:rPr>
                <w:lang w:val="uk-UA"/>
              </w:rPr>
              <w:t xml:space="preserve"> </w:t>
            </w:r>
            <w:r w:rsidRPr="002A07AF">
              <w:rPr>
                <w:lang w:val="uk-UA"/>
              </w:rPr>
              <w:t>заохочуються до використання також й іншої літератури та джерел, яких немає серед рекомендованих.</w:t>
            </w:r>
          </w:p>
          <w:p w:rsidR="00764B86" w:rsidRPr="002A07AF" w:rsidRDefault="00764B86" w:rsidP="004E2A61">
            <w:pPr>
              <w:jc w:val="both"/>
              <w:rPr>
                <w:color w:val="auto"/>
                <w:lang w:val="uk-UA"/>
              </w:rPr>
            </w:pPr>
          </w:p>
          <w:p w:rsidR="00764B86" w:rsidRPr="002A07AF" w:rsidRDefault="00764B86" w:rsidP="004E2A6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A07AF">
              <w:rPr>
                <w:color w:val="auto"/>
                <w:lang w:val="uk-UA"/>
              </w:rPr>
              <w:t>П</w:t>
            </w:r>
            <w:r w:rsidRPr="002A07AF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A07AF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</w:t>
            </w:r>
            <w:r w:rsidR="002A07AF">
              <w:rPr>
                <w:color w:val="auto"/>
                <w:lang w:val="uk-UA"/>
              </w:rPr>
              <w:t>аспірант</w:t>
            </w:r>
            <w:r w:rsidR="00D27DFC">
              <w:rPr>
                <w:color w:val="auto"/>
                <w:lang w:val="uk-UA"/>
              </w:rPr>
              <w:t>а</w:t>
            </w:r>
            <w:r w:rsidR="002A07AF" w:rsidRPr="002A07AF">
              <w:rPr>
                <w:color w:val="auto"/>
                <w:lang w:val="uk-UA" w:eastAsia="uk-UA"/>
              </w:rPr>
              <w:t xml:space="preserve"> </w:t>
            </w:r>
            <w:r w:rsidRPr="002A07AF">
              <w:rPr>
                <w:color w:val="auto"/>
                <w:lang w:val="uk-UA" w:eastAsia="uk-UA"/>
              </w:rPr>
              <w:t>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764B86" w:rsidRPr="002A07AF" w:rsidRDefault="00764B86" w:rsidP="004E2A6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764B86" w:rsidRPr="002A07AF" w:rsidRDefault="00764B86" w:rsidP="004E2A6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A07AF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:rsidR="00764B86" w:rsidRPr="002A07AF" w:rsidRDefault="00764B86" w:rsidP="004E2A61">
            <w:pPr>
              <w:jc w:val="both"/>
              <w:rPr>
                <w:color w:val="auto"/>
                <w:lang w:val="uk-UA"/>
              </w:rPr>
            </w:pPr>
          </w:p>
        </w:tc>
      </w:tr>
      <w:tr w:rsidR="00764B86" w:rsidRPr="003D4DCD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AF" w:rsidRPr="002A07AF" w:rsidRDefault="002A07AF" w:rsidP="002A07AF">
            <w:pPr>
              <w:pStyle w:val="a3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 xml:space="preserve">Поява перших етнічних меншин на українській території. Німецькі, вірменські, єврейські та польські громади в часи </w:t>
            </w:r>
            <w:r w:rsidRPr="002A07AF">
              <w:rPr>
                <w:color w:val="auto"/>
                <w:lang w:val="uk-UA"/>
              </w:rPr>
              <w:lastRenderedPageBreak/>
              <w:t xml:space="preserve">Середньовіччя – раннього Нового часу. </w:t>
            </w:r>
          </w:p>
          <w:p w:rsidR="002A07AF" w:rsidRPr="002A07AF" w:rsidRDefault="002A07AF" w:rsidP="002A07AF">
            <w:pPr>
              <w:pStyle w:val="a3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 xml:space="preserve">Вплив перебування українських етнічних земель у складі іноземних держав на збільшення кількості на них поляків, угорців, румунів та росіян. </w:t>
            </w:r>
          </w:p>
          <w:p w:rsidR="002A07AF" w:rsidRPr="002A07AF" w:rsidRDefault="002A07AF" w:rsidP="002A07AF">
            <w:pPr>
              <w:pStyle w:val="a3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Етнічний стереотип як феномен культури</w:t>
            </w:r>
          </w:p>
          <w:p w:rsidR="002A07AF" w:rsidRPr="002A07AF" w:rsidRDefault="002A07AF" w:rsidP="002A07AF">
            <w:pPr>
              <w:pStyle w:val="a3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Етнічні процеси</w:t>
            </w:r>
          </w:p>
          <w:p w:rsidR="002A07AF" w:rsidRPr="002A07AF" w:rsidRDefault="002A07AF" w:rsidP="002A07AF">
            <w:pPr>
              <w:pStyle w:val="a3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 xml:space="preserve">Етногенез кримськотатарського народу. Караїми, гагаузи та євреї на території України. </w:t>
            </w:r>
          </w:p>
          <w:p w:rsidR="002A07AF" w:rsidRPr="002A07AF" w:rsidRDefault="002A07AF" w:rsidP="002A07AF">
            <w:pPr>
              <w:pStyle w:val="a3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Історія вивчення етнічних стереотипів</w:t>
            </w:r>
          </w:p>
          <w:p w:rsidR="002A07AF" w:rsidRPr="002A07AF" w:rsidRDefault="002A07AF" w:rsidP="002A07AF">
            <w:pPr>
              <w:pStyle w:val="a3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Культурний розвиток головних національних меншин та корінних етносів України</w:t>
            </w:r>
          </w:p>
          <w:p w:rsidR="002A07AF" w:rsidRPr="002A07AF" w:rsidRDefault="002A07AF" w:rsidP="002A07AF">
            <w:pPr>
              <w:pStyle w:val="a3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Методи дослідження етнічних стереотипів</w:t>
            </w:r>
          </w:p>
          <w:p w:rsidR="002A07AF" w:rsidRPr="002A07AF" w:rsidRDefault="002A07AF" w:rsidP="002A07AF">
            <w:pPr>
              <w:pStyle w:val="a3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Об'єктивні та суб’єктивні передумови формування нації</w:t>
            </w:r>
          </w:p>
          <w:p w:rsidR="002A07AF" w:rsidRPr="002A07AF" w:rsidRDefault="002A07AF" w:rsidP="002A07AF">
            <w:pPr>
              <w:pStyle w:val="a3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Ознаки нації</w:t>
            </w:r>
          </w:p>
          <w:p w:rsidR="002A07AF" w:rsidRPr="002A07AF" w:rsidRDefault="002A07AF" w:rsidP="002A07AF">
            <w:pPr>
              <w:pStyle w:val="a3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Основні теорії походження нації</w:t>
            </w:r>
          </w:p>
          <w:p w:rsidR="002A07AF" w:rsidRPr="002A07AF" w:rsidRDefault="002A07AF" w:rsidP="002A07AF">
            <w:pPr>
              <w:pStyle w:val="a3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Передумови формування української нації</w:t>
            </w:r>
          </w:p>
          <w:p w:rsidR="002A07AF" w:rsidRPr="002A07AF" w:rsidRDefault="002A07AF" w:rsidP="002A07AF">
            <w:pPr>
              <w:pStyle w:val="a3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 xml:space="preserve">Переписи населення кінця ХІХ – початку ХХІ ст. – основне джерело для дослідження змін етнічної структури українського суспільства. </w:t>
            </w:r>
          </w:p>
          <w:p w:rsidR="002A07AF" w:rsidRPr="002A07AF" w:rsidRDefault="002A07AF" w:rsidP="002A07AF">
            <w:pPr>
              <w:pStyle w:val="a3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Періодизація етнічної історії українців</w:t>
            </w:r>
          </w:p>
          <w:p w:rsidR="002A07AF" w:rsidRPr="002A07AF" w:rsidRDefault="002A07AF" w:rsidP="002A07AF">
            <w:pPr>
              <w:pStyle w:val="a3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Походження поняття нація</w:t>
            </w:r>
          </w:p>
          <w:p w:rsidR="002A07AF" w:rsidRPr="002A07AF" w:rsidRDefault="002A07AF" w:rsidP="002A07AF">
            <w:pPr>
              <w:pStyle w:val="a3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Проблеми формування нації в сучасній Україні</w:t>
            </w:r>
          </w:p>
          <w:p w:rsidR="002A07AF" w:rsidRPr="002A07AF" w:rsidRDefault="002A07AF" w:rsidP="002A07AF">
            <w:pPr>
              <w:pStyle w:val="a3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Роль і значення знання етнічних стереотипів.</w:t>
            </w:r>
          </w:p>
          <w:p w:rsidR="002A07AF" w:rsidRPr="002A07AF" w:rsidRDefault="002A07AF" w:rsidP="002A07AF">
            <w:pPr>
              <w:pStyle w:val="a3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proofErr w:type="spellStart"/>
            <w:r w:rsidRPr="002A07AF">
              <w:rPr>
                <w:color w:val="auto"/>
                <w:lang w:val="uk-UA"/>
              </w:rPr>
              <w:t>Типологізація</w:t>
            </w:r>
            <w:proofErr w:type="spellEnd"/>
            <w:r w:rsidRPr="002A07AF">
              <w:rPr>
                <w:color w:val="auto"/>
                <w:lang w:val="uk-UA"/>
              </w:rPr>
              <w:t xml:space="preserve"> націй</w:t>
            </w:r>
          </w:p>
          <w:p w:rsidR="002A07AF" w:rsidRPr="002A07AF" w:rsidRDefault="002A07AF" w:rsidP="002A07AF">
            <w:pPr>
              <w:pStyle w:val="a3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 xml:space="preserve">Чинники зростання/зменшення етнічних спільнот на території України впродовж ХХ – початку ХХІ ст. </w:t>
            </w:r>
          </w:p>
          <w:p w:rsidR="00764B86" w:rsidRPr="002A07AF" w:rsidRDefault="00764B86" w:rsidP="004E2A61">
            <w:pPr>
              <w:jc w:val="both"/>
              <w:rPr>
                <w:color w:val="auto"/>
                <w:lang w:val="uk-UA"/>
              </w:rPr>
            </w:pPr>
          </w:p>
        </w:tc>
      </w:tr>
      <w:tr w:rsidR="00764B86" w:rsidRPr="003D4DCD" w:rsidTr="004E2A6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center"/>
              <w:rPr>
                <w:b/>
                <w:color w:val="auto"/>
                <w:lang w:val="uk-UA"/>
              </w:rPr>
            </w:pPr>
            <w:r w:rsidRPr="002A07AF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2A07AF" w:rsidRDefault="00764B86" w:rsidP="004E2A61">
            <w:pPr>
              <w:jc w:val="both"/>
              <w:rPr>
                <w:color w:val="auto"/>
                <w:lang w:val="uk-UA"/>
              </w:rPr>
            </w:pPr>
            <w:r w:rsidRPr="002A07AF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764B86" w:rsidRPr="002A07AF" w:rsidRDefault="00764B86" w:rsidP="00764B8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764B86" w:rsidRPr="002A07AF" w:rsidRDefault="00764B86" w:rsidP="00764B8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764B86" w:rsidRPr="002A07AF" w:rsidRDefault="00764B86">
      <w:pPr>
        <w:rPr>
          <w:lang w:val="uk-UA"/>
        </w:rPr>
      </w:pPr>
    </w:p>
    <w:sectPr w:rsidR="00764B86" w:rsidRPr="002A07AF" w:rsidSect="00764B8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B39"/>
    <w:multiLevelType w:val="hybridMultilevel"/>
    <w:tmpl w:val="E6529B7A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2118"/>
    <w:multiLevelType w:val="hybridMultilevel"/>
    <w:tmpl w:val="B9163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5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127E5"/>
    <w:multiLevelType w:val="hybridMultilevel"/>
    <w:tmpl w:val="4B4C330A"/>
    <w:lvl w:ilvl="0" w:tplc="A742F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C32EE"/>
    <w:multiLevelType w:val="hybridMultilevel"/>
    <w:tmpl w:val="0F384B50"/>
    <w:lvl w:ilvl="0" w:tplc="A742F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728F6"/>
    <w:multiLevelType w:val="hybridMultilevel"/>
    <w:tmpl w:val="4D7E67F6"/>
    <w:lvl w:ilvl="0" w:tplc="A742F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2341B"/>
    <w:multiLevelType w:val="hybridMultilevel"/>
    <w:tmpl w:val="0F384B50"/>
    <w:lvl w:ilvl="0" w:tplc="A742F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020EB"/>
    <w:multiLevelType w:val="hybridMultilevel"/>
    <w:tmpl w:val="0AE0A8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703EE"/>
    <w:multiLevelType w:val="hybridMultilevel"/>
    <w:tmpl w:val="E0884F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A6049"/>
    <w:multiLevelType w:val="hybridMultilevel"/>
    <w:tmpl w:val="0F384B50"/>
    <w:lvl w:ilvl="0" w:tplc="A742F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66E6A"/>
    <w:multiLevelType w:val="hybridMultilevel"/>
    <w:tmpl w:val="599C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E44E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788675F"/>
    <w:multiLevelType w:val="hybridMultilevel"/>
    <w:tmpl w:val="EB10786E"/>
    <w:lvl w:ilvl="0" w:tplc="A742F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30FCD"/>
    <w:multiLevelType w:val="hybridMultilevel"/>
    <w:tmpl w:val="9FF87ABE"/>
    <w:lvl w:ilvl="0" w:tplc="EF1463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15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B86"/>
    <w:rsid w:val="000F1C60"/>
    <w:rsid w:val="002A07AF"/>
    <w:rsid w:val="002B358D"/>
    <w:rsid w:val="003034B3"/>
    <w:rsid w:val="003D4DCD"/>
    <w:rsid w:val="00485BEC"/>
    <w:rsid w:val="00513601"/>
    <w:rsid w:val="00711672"/>
    <w:rsid w:val="00747B6E"/>
    <w:rsid w:val="007605B9"/>
    <w:rsid w:val="00764B86"/>
    <w:rsid w:val="00D005EE"/>
    <w:rsid w:val="00D27DFC"/>
    <w:rsid w:val="00D34906"/>
    <w:rsid w:val="00D46207"/>
    <w:rsid w:val="00DD3DE2"/>
    <w:rsid w:val="00DE60F4"/>
    <w:rsid w:val="00EE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0F1C60"/>
    <w:pPr>
      <w:keepNext/>
      <w:outlineLvl w:val="2"/>
    </w:pPr>
    <w:rPr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5B9"/>
    <w:pPr>
      <w:ind w:left="720"/>
      <w:contextualSpacing/>
    </w:pPr>
  </w:style>
  <w:style w:type="paragraph" w:styleId="a4">
    <w:name w:val="Title"/>
    <w:basedOn w:val="a"/>
    <w:link w:val="a5"/>
    <w:qFormat/>
    <w:rsid w:val="000F1C60"/>
    <w:pPr>
      <w:jc w:val="center"/>
    </w:pPr>
    <w:rPr>
      <w:rFonts w:ascii="Times New Roman CYR" w:hAnsi="Times New Roman CYR"/>
      <w:b/>
      <w:bCs/>
      <w:color w:val="auto"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0F1C60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1C60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styleId="a6">
    <w:name w:val="Body Text"/>
    <w:basedOn w:val="a"/>
    <w:link w:val="a7"/>
    <w:rsid w:val="000F1C60"/>
    <w:pPr>
      <w:spacing w:after="120"/>
    </w:pPr>
    <w:rPr>
      <w:color w:val="auto"/>
      <w:sz w:val="28"/>
      <w:lang w:val="ru-RU" w:eastAsia="ru-RU"/>
    </w:rPr>
  </w:style>
  <w:style w:type="character" w:customStyle="1" w:styleId="a7">
    <w:name w:val="Основной текст Знак"/>
    <w:basedOn w:val="a0"/>
    <w:link w:val="a6"/>
    <w:rsid w:val="000F1C6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ionalismproje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Igor</cp:lastModifiedBy>
  <cp:revision>5</cp:revision>
  <dcterms:created xsi:type="dcterms:W3CDTF">2019-09-27T09:47:00Z</dcterms:created>
  <dcterms:modified xsi:type="dcterms:W3CDTF">2019-09-30T10:34:00Z</dcterms:modified>
</cp:coreProperties>
</file>