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41886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41886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41886">
        <w:rPr>
          <w:rFonts w:ascii="Garamond" w:eastAsia="Times New Roman" w:hAnsi="Garamond" w:cs="Garamond"/>
          <w:b/>
          <w:sz w:val="28"/>
          <w:szCs w:val="28"/>
        </w:rPr>
        <w:t>Факультет історичний</w:t>
      </w: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41886">
        <w:rPr>
          <w:rFonts w:ascii="Garamond" w:eastAsia="Times New Roman" w:hAnsi="Garamond" w:cs="Garamond"/>
          <w:b/>
          <w:sz w:val="28"/>
          <w:szCs w:val="28"/>
        </w:rPr>
        <w:t>Кафедра нової та новітньої історії зарубіжних країн</w:t>
      </w: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841886">
        <w:rPr>
          <w:rFonts w:ascii="Times New Roman" w:hAnsi="Times New Roman"/>
          <w:b/>
          <w:sz w:val="24"/>
          <w:szCs w:val="24"/>
        </w:rPr>
        <w:t>Затверджено</w:t>
      </w:r>
    </w:p>
    <w:p w:rsidR="00084FC4" w:rsidRPr="00841886" w:rsidRDefault="00084FC4" w:rsidP="00084FC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41886">
        <w:rPr>
          <w:rFonts w:ascii="Times New Roman" w:hAnsi="Times New Roman"/>
          <w:sz w:val="24"/>
          <w:szCs w:val="24"/>
        </w:rPr>
        <w:t>На засіданні кафедри нової та новітньої історії зарубіжних країн</w:t>
      </w:r>
    </w:p>
    <w:p w:rsidR="00084FC4" w:rsidRPr="00841886" w:rsidRDefault="00084FC4" w:rsidP="00084FC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41886">
        <w:rPr>
          <w:rFonts w:ascii="Times New Roman" w:hAnsi="Times New Roman"/>
          <w:sz w:val="24"/>
          <w:szCs w:val="24"/>
        </w:rPr>
        <w:t xml:space="preserve">історичного факультету </w:t>
      </w:r>
    </w:p>
    <w:p w:rsidR="00084FC4" w:rsidRPr="00841886" w:rsidRDefault="00084FC4" w:rsidP="00084FC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41886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084FC4" w:rsidRPr="00841886" w:rsidRDefault="00084FC4" w:rsidP="00084FC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41886">
        <w:rPr>
          <w:rFonts w:ascii="Times New Roman" w:hAnsi="Times New Roman"/>
          <w:sz w:val="24"/>
          <w:szCs w:val="24"/>
        </w:rPr>
        <w:t xml:space="preserve">(протокол № </w:t>
      </w:r>
      <w:r w:rsidRPr="00841886">
        <w:rPr>
          <w:rFonts w:ascii="Times New Roman" w:hAnsi="Times New Roman"/>
          <w:sz w:val="24"/>
          <w:szCs w:val="24"/>
          <w:lang w:val="ru-RU"/>
        </w:rPr>
        <w:t>1</w:t>
      </w:r>
      <w:r w:rsidRPr="00841886">
        <w:rPr>
          <w:rFonts w:ascii="Times New Roman" w:hAnsi="Times New Roman"/>
          <w:sz w:val="24"/>
          <w:szCs w:val="24"/>
        </w:rPr>
        <w:t xml:space="preserve"> від </w:t>
      </w:r>
      <w:r w:rsidRPr="00841886">
        <w:rPr>
          <w:rFonts w:ascii="Times New Roman" w:hAnsi="Times New Roman"/>
          <w:sz w:val="24"/>
          <w:szCs w:val="24"/>
          <w:lang w:val="ru-RU"/>
        </w:rPr>
        <w:t>26</w:t>
      </w:r>
      <w:r w:rsidRPr="00841886">
        <w:rPr>
          <w:rFonts w:ascii="Times New Roman" w:hAnsi="Times New Roman"/>
          <w:sz w:val="24"/>
          <w:szCs w:val="24"/>
          <w:lang w:val="en-US"/>
        </w:rPr>
        <w:t> </w:t>
      </w:r>
      <w:r w:rsidRPr="00841886">
        <w:rPr>
          <w:rFonts w:ascii="Times New Roman" w:hAnsi="Times New Roman"/>
          <w:sz w:val="24"/>
          <w:szCs w:val="24"/>
        </w:rPr>
        <w:t>серпня 2020 р.)</w:t>
      </w:r>
    </w:p>
    <w:p w:rsidR="00084FC4" w:rsidRPr="00841886" w:rsidRDefault="00084FC4" w:rsidP="00084FC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41886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0D9685F" wp14:editId="3F85D463">
            <wp:extent cx="30670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8D53F0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8D53F0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084FC4" w:rsidRPr="00841886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18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084FC4" w:rsidRPr="00841886">
        <w:rPr>
          <w:rFonts w:ascii="Times New Roman" w:eastAsia="Times New Roman" w:hAnsi="Times New Roman"/>
          <w:b/>
          <w:sz w:val="32"/>
          <w:szCs w:val="32"/>
        </w:rPr>
        <w:t>«</w:t>
      </w:r>
      <w:r w:rsidR="00084FC4" w:rsidRPr="00841886">
        <w:rPr>
          <w:rFonts w:ascii="Times New Roman" w:eastAsia="Times New Roman" w:hAnsi="Times New Roman"/>
          <w:b/>
          <w:sz w:val="40"/>
          <w:szCs w:val="40"/>
        </w:rPr>
        <w:t xml:space="preserve">Політика </w:t>
      </w:r>
      <w:proofErr w:type="spellStart"/>
      <w:r w:rsidR="00084FC4" w:rsidRPr="00841886">
        <w:rPr>
          <w:rFonts w:ascii="Times New Roman" w:eastAsia="Times New Roman" w:hAnsi="Times New Roman"/>
          <w:b/>
          <w:sz w:val="40"/>
          <w:szCs w:val="40"/>
        </w:rPr>
        <w:t>багатокультурності</w:t>
      </w:r>
      <w:proofErr w:type="spellEnd"/>
      <w:r w:rsidR="00084FC4" w:rsidRPr="00841886">
        <w:rPr>
          <w:rFonts w:ascii="Times New Roman" w:eastAsia="Times New Roman" w:hAnsi="Times New Roman"/>
          <w:b/>
          <w:sz w:val="40"/>
          <w:szCs w:val="40"/>
        </w:rPr>
        <w:t xml:space="preserve"> в Європі</w:t>
      </w:r>
      <w:r w:rsidR="00084FC4" w:rsidRPr="00841886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8D53F0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Історія та археологія</w:t>
      </w:r>
    </w:p>
    <w:p w:rsidR="008D53F0" w:rsidRPr="009A73AA" w:rsidRDefault="008D53F0" w:rsidP="008D53F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9A73AA" w:rsidRPr="009A73AA">
        <w:rPr>
          <w:rFonts w:ascii="Times New Roman" w:eastAsia="Times New Roman" w:hAnsi="Times New Roman"/>
          <w:b/>
          <w:color w:val="000000"/>
          <w:sz w:val="32"/>
          <w:szCs w:val="32"/>
        </w:rPr>
        <w:t>014</w:t>
      </w:r>
      <w:r w:rsidR="009A73AA">
        <w:rPr>
          <w:rFonts w:ascii="Times New Roman" w:eastAsia="Times New Roman" w:hAnsi="Times New Roman"/>
          <w:b/>
          <w:color w:val="000000"/>
          <w:sz w:val="32"/>
          <w:szCs w:val="32"/>
        </w:rPr>
        <w:t>.13 Середня освіта (Історія)</w:t>
      </w: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1886">
        <w:rPr>
          <w:rFonts w:ascii="Times New Roman" w:eastAsia="Times New Roman" w:hAnsi="Times New Roman"/>
          <w:b/>
          <w:sz w:val="24"/>
          <w:szCs w:val="24"/>
        </w:rPr>
        <w:t>Львів 2020 р.</w:t>
      </w: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FC4" w:rsidRPr="00841886" w:rsidRDefault="00084FC4" w:rsidP="00084FC4"/>
    <w:tbl>
      <w:tblPr>
        <w:tblW w:w="10368" w:type="dxa"/>
        <w:tblLook w:val="0000" w:firstRow="0" w:lastRow="0" w:firstColumn="0" w:lastColumn="0" w:noHBand="0" w:noVBand="0"/>
      </w:tblPr>
      <w:tblGrid>
        <w:gridCol w:w="2603"/>
        <w:gridCol w:w="7765"/>
      </w:tblGrid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«Політика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багатокультурності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в Європі»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вул. Університетська, 1, м. Львів, 79000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Історичний факультет</w:t>
            </w:r>
          </w:p>
          <w:p w:rsidR="00084FC4" w:rsidRPr="00841886" w:rsidRDefault="00084FC4" w:rsidP="00C02C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Кафедра нової та новітньої історії зарубіжних країн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03 Гуманітарні науки</w:t>
            </w:r>
          </w:p>
          <w:p w:rsidR="00084FC4" w:rsidRPr="00841886" w:rsidRDefault="00084FC4" w:rsidP="009A7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A73AA">
              <w:rPr>
                <w:rFonts w:ascii="Times New Roman" w:eastAsia="Times New Roman" w:hAnsi="Times New Roman"/>
                <w:sz w:val="24"/>
                <w:szCs w:val="24"/>
              </w:rPr>
              <w:t>14.13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Історія та археологія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Турмис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Володимирівна, кандидат історичних наук, доцент кафедри нової та новітньої історії зарубіжних країн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CD76F8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nataliya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turmys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@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4FC4"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turmys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</w:t>
            </w:r>
          </w:p>
          <w:p w:rsidR="00084FC4" w:rsidRPr="00841886" w:rsidRDefault="00CD76F8" w:rsidP="00C0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84FC4" w:rsidRPr="008418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https://clio.lnu.edu.ua/employee/turmys-n-v</w:t>
              </w:r>
            </w:hyperlink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У день проведення лекцій та практичних, також на онлайн платформах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Facebook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та через електронну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почту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nataliya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turmys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@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Pr="0084188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</w:hyperlink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turmys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ukr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Сторінка</w:t>
            </w:r>
            <w:proofErr w:type="spellEnd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0">
              <w:rPr>
                <w:rFonts w:ascii="Times New Roman" w:hAnsi="Times New Roman"/>
                <w:sz w:val="24"/>
                <w:szCs w:val="24"/>
              </w:rPr>
              <w:t>https://clio.lnu.edu.ua/course/polityka-bahatokulturnosti-v-suchasnij-evropi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Пропонований курс є складовою частиною всесвітньої історії та охоплює період від 70-х рр. ХХ ст. до наших днів. Актуальність курсу зумовлена викликами сьогодення, позаяк європейські політики і суспільство звертають підвищену увагу як на проблеми культурного розмаїття, так і на зміцнення політичної єдності та суспільної консолідації. На межі ХХ–ХХІ ст. етнічні меншини та нові спільноти все частіше заявляють про власну самобутність та вимагають суспільного визнання. У відповідь законодавці змушені творити нові механізми для врегулювання міжнаціональних проблем та суперечностей. Більшість сучасних європейських держав змогла врахувати інтереси різних етносів та груп та розширити їх свободи без шкоди </w:t>
            </w:r>
            <w:r>
              <w:rPr>
                <w:rFonts w:ascii="Times New Roman" w:hAnsi="Times New Roman"/>
                <w:sz w:val="24"/>
                <w:szCs w:val="24"/>
              </w:rPr>
              <w:t>для титульної нації/націй чи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територіальної цілісності. Однак соціальні конфлікти, викликані небажанням частини спільнот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акультуруватися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у європейський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соціопростір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досі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порушують суспільну рівновагу та залишаються викликом для європейського політикуму.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8D53F0" w:rsidP="008D5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084FC4"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исципліна «Політика </w:t>
            </w:r>
            <w:proofErr w:type="spellStart"/>
            <w:r w:rsidR="00084FC4" w:rsidRPr="00841886">
              <w:rPr>
                <w:rFonts w:ascii="Times New Roman" w:eastAsia="Times New Roman" w:hAnsi="Times New Roman"/>
                <w:sz w:val="24"/>
                <w:szCs w:val="24"/>
              </w:rPr>
              <w:t>багатокультурності</w:t>
            </w:r>
            <w:proofErr w:type="spellEnd"/>
            <w:r w:rsidR="00084FC4"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в Європі»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вибірков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ою дисципліною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спеціальності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014.03 Середня освіта (Історія)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ІІ 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</w:t>
            </w:r>
            <w:r w:rsidR="00084FC4"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ECTS), загалом 90 годин.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Метою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дисципліни «Політика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багатокультурності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в Європі» </w:t>
            </w:r>
            <w:r w:rsidRPr="00841886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є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формування у студентів знань про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вплив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малих народів, </w:t>
            </w:r>
            <w:r>
              <w:rPr>
                <w:rFonts w:ascii="Times New Roman" w:hAnsi="Times New Roman"/>
                <w:sz w:val="24"/>
                <w:szCs w:val="24"/>
              </w:rPr>
              <w:t>національних меншин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та нових спільнот на </w:t>
            </w:r>
            <w:r>
              <w:rPr>
                <w:rFonts w:ascii="Times New Roman" w:hAnsi="Times New Roman"/>
                <w:sz w:val="24"/>
                <w:szCs w:val="24"/>
              </w:rPr>
              <w:t>творення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сучасної європейської ідентичності. </w:t>
            </w:r>
          </w:p>
          <w:p w:rsidR="00084FC4" w:rsidRDefault="00084FC4" w:rsidP="00C0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4FC4" w:rsidRDefault="00084FC4" w:rsidP="00C0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-з’ясувати вплив </w:t>
            </w:r>
            <w:r w:rsidR="00CD76F8" w:rsidRPr="00841886">
              <w:rPr>
                <w:rFonts w:ascii="Times New Roman" w:hAnsi="Times New Roman"/>
                <w:sz w:val="24"/>
                <w:szCs w:val="24"/>
              </w:rPr>
              <w:t>малих народів</w:t>
            </w:r>
            <w:r w:rsidR="00CD76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нових спільнот та національних меншин на політичні процеси,  суспільні трансформації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економічний і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культурний поступ європейськ</w:t>
            </w:r>
            <w:r>
              <w:rPr>
                <w:rFonts w:ascii="Times New Roman" w:hAnsi="Times New Roman"/>
                <w:sz w:val="24"/>
                <w:szCs w:val="24"/>
              </w:rPr>
              <w:t>их держав;</w:t>
            </w:r>
          </w:p>
          <w:p w:rsidR="00084FC4" w:rsidRDefault="00084FC4" w:rsidP="00C0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проаналізувати обставини, що провокують міжнаціональні та культурні конфлікти;</w:t>
            </w:r>
          </w:p>
          <w:p w:rsidR="00084FC4" w:rsidRDefault="00084FC4" w:rsidP="00C0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проілюструвати прикладами способи та шляхи їх розв’язання,</w:t>
            </w:r>
          </w:p>
          <w:p w:rsidR="00084FC4" w:rsidRDefault="00084FC4" w:rsidP="00C0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охарактеризувати ключові теми міжнаціонального діалогу;</w:t>
            </w:r>
          </w:p>
          <w:p w:rsidR="00084FC4" w:rsidRPr="00841886" w:rsidRDefault="00084FC4" w:rsidP="00C0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окреслити  нові культурні цінності європейської цивілізації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Навчальна дисципліна формує такі програмні компетентності: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1886">
              <w:rPr>
                <w:rFonts w:ascii="Times New Roman" w:hAnsi="Times New Roman"/>
                <w:i/>
                <w:sz w:val="24"/>
                <w:szCs w:val="24"/>
              </w:rPr>
              <w:t>а) Загальні компетентності: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- аналізувати, систематизувати та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верифікувати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джерела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літературу;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 вміти чітко та аргументовано формулювати думку;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коректно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вступати в дискусію з опонентами;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- для виконання окреслених завдань максимально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задіювати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власний інтелектуальний ресурс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i/>
                <w:sz w:val="24"/>
                <w:szCs w:val="24"/>
              </w:rPr>
              <w:t>б) фахові компетентності: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84188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- виявляти здатність до міждисциплінарної взаємодії й уміння працювати з матеріалом суміжних </w:t>
            </w:r>
            <w:proofErr w:type="spellStart"/>
            <w:r w:rsidRPr="0084188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освітньо</w:t>
            </w:r>
            <w:proofErr w:type="spellEnd"/>
            <w:r w:rsidRPr="0084188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-наукових сфер (філософія, політологія, філологія, культурологія, соціологія тощо);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84188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знати основні теорії та концепції сучасної історіографії та здійснювати аналіз джерел (нормативних актів, графіків, статистичних даних, фотодокументів та агітаційних плакатів)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1886">
              <w:rPr>
                <w:rFonts w:ascii="Times New Roman" w:hAnsi="Times New Roman"/>
                <w:i/>
                <w:sz w:val="24"/>
                <w:szCs w:val="24"/>
              </w:rPr>
              <w:t>в) програмні результати навчання:</w:t>
            </w:r>
          </w:p>
          <w:p w:rsidR="00084FC4" w:rsidRDefault="00084FC4" w:rsidP="00C02C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 опанувати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фактографічний матеріал, понятійний апарат та наукову термінологію; </w:t>
            </w:r>
          </w:p>
          <w:p w:rsidR="00084FC4" w:rsidRPr="00841886" w:rsidRDefault="00084FC4" w:rsidP="00C02C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оволодіти навиками критичного мислення;</w:t>
            </w:r>
          </w:p>
          <w:p w:rsidR="00084FC4" w:rsidRPr="00841886" w:rsidRDefault="00084FC4" w:rsidP="00C02C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 застосувати професійні навики та творчий потенціал для самореалізації та фахового зростання;</w:t>
            </w:r>
          </w:p>
          <w:p w:rsidR="00084FC4" w:rsidRPr="00841886" w:rsidRDefault="00084FC4" w:rsidP="00C02C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- керуватися як в професійній діяльності, так і в повсякденному житті морально-етичними нормами.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D0618D" w:rsidRDefault="00084FC4" w:rsidP="00C02CE2">
            <w:pPr>
              <w:shd w:val="clear" w:color="auto" w:fill="FFFFFF"/>
              <w:spacing w:after="0" w:line="240" w:lineRule="auto"/>
              <w:ind w:firstLine="5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0618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Джерела:</w:t>
            </w:r>
          </w:p>
          <w:p w:rsidR="00084FC4" w:rsidRPr="00CA6AFE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>1</w:t>
            </w:r>
            <w:r w:rsidRPr="00CA6A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6AFE">
              <w:rPr>
                <w:rFonts w:ascii="Times New Roman" w:hAnsi="Times New Roman"/>
                <w:sz w:val="24"/>
                <w:szCs w:val="24"/>
              </w:rPr>
              <w:t>Билсборроу</w:t>
            </w:r>
            <w:proofErr w:type="spellEnd"/>
            <w:r w:rsidRPr="00CA6AFE">
              <w:rPr>
                <w:rFonts w:ascii="Times New Roman" w:hAnsi="Times New Roman"/>
                <w:sz w:val="24"/>
                <w:szCs w:val="24"/>
              </w:rPr>
              <w:t xml:space="preserve"> Р., </w:t>
            </w:r>
            <w:proofErr w:type="spellStart"/>
            <w:r w:rsidRPr="00CA6AFE">
              <w:rPr>
                <w:rFonts w:ascii="Times New Roman" w:hAnsi="Times New Roman"/>
                <w:sz w:val="24"/>
                <w:szCs w:val="24"/>
              </w:rPr>
              <w:t>Хьюго</w:t>
            </w:r>
            <w:proofErr w:type="spellEnd"/>
            <w:r w:rsidRPr="00CA6AFE">
              <w:rPr>
                <w:rFonts w:ascii="Times New Roman" w:hAnsi="Times New Roman"/>
                <w:sz w:val="24"/>
                <w:szCs w:val="24"/>
              </w:rPr>
              <w:t xml:space="preserve"> Г. Статистика </w:t>
            </w:r>
            <w:proofErr w:type="spellStart"/>
            <w:r w:rsidRPr="00CA6AFE">
              <w:rPr>
                <w:rFonts w:ascii="Times New Roman" w:hAnsi="Times New Roman"/>
                <w:sz w:val="24"/>
                <w:szCs w:val="24"/>
              </w:rPr>
              <w:t>международной</w:t>
            </w:r>
            <w:proofErr w:type="spellEnd"/>
            <w:r w:rsidRPr="00CA6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AFE">
              <w:rPr>
                <w:rFonts w:ascii="Times New Roman" w:hAnsi="Times New Roman"/>
                <w:sz w:val="24"/>
                <w:szCs w:val="24"/>
              </w:rPr>
              <w:t>миграции</w:t>
            </w:r>
            <w:proofErr w:type="spellEnd"/>
            <w:r w:rsidRPr="00CA6AFE">
              <w:rPr>
                <w:rFonts w:ascii="Times New Roman" w:hAnsi="Times New Roman"/>
                <w:sz w:val="24"/>
                <w:szCs w:val="24"/>
              </w:rPr>
              <w:t xml:space="preserve"> /Пер. с </w:t>
            </w:r>
            <w:proofErr w:type="spellStart"/>
            <w:r w:rsidRPr="00CA6AFE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A6A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6AFE">
              <w:rPr>
                <w:rFonts w:ascii="Times New Roman" w:hAnsi="Times New Roman"/>
                <w:sz w:val="24"/>
                <w:szCs w:val="24"/>
              </w:rPr>
              <w:t>Международное</w:t>
            </w:r>
            <w:proofErr w:type="spellEnd"/>
            <w:r w:rsidRPr="00CA6AFE">
              <w:rPr>
                <w:rFonts w:ascii="Times New Roman" w:hAnsi="Times New Roman"/>
                <w:sz w:val="24"/>
                <w:szCs w:val="24"/>
              </w:rPr>
              <w:t xml:space="preserve"> бюро труда. – М.: </w:t>
            </w:r>
            <w:proofErr w:type="spellStart"/>
            <w:r w:rsidRPr="00CA6AFE"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spellEnd"/>
            <w:r w:rsidRPr="00CA6AFE">
              <w:rPr>
                <w:rFonts w:ascii="Times New Roman" w:hAnsi="Times New Roman"/>
                <w:sz w:val="24"/>
                <w:szCs w:val="24"/>
              </w:rPr>
              <w:t>, 2008. – 419 с.</w:t>
            </w:r>
          </w:p>
          <w:p w:rsidR="00084FC4" w:rsidRPr="00CA6AFE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FE">
              <w:rPr>
                <w:rFonts w:ascii="Times New Roman" w:hAnsi="Times New Roman"/>
                <w:sz w:val="24"/>
                <w:szCs w:val="24"/>
              </w:rPr>
              <w:t xml:space="preserve">2. Декларація принципів толерантності // Міграція і толерантність в Україні. – Київ: </w:t>
            </w:r>
            <w:proofErr w:type="spellStart"/>
            <w:r w:rsidRPr="00CA6AFE">
              <w:rPr>
                <w:rFonts w:ascii="Times New Roman" w:hAnsi="Times New Roman"/>
                <w:sz w:val="24"/>
                <w:szCs w:val="24"/>
              </w:rPr>
              <w:t>Стилос</w:t>
            </w:r>
            <w:proofErr w:type="spellEnd"/>
            <w:r w:rsidRPr="00CA6AFE">
              <w:rPr>
                <w:rFonts w:ascii="Times New Roman" w:hAnsi="Times New Roman"/>
                <w:sz w:val="24"/>
                <w:szCs w:val="24"/>
              </w:rPr>
              <w:t>, 2007. – С. 175–181.</w:t>
            </w:r>
          </w:p>
          <w:p w:rsidR="00084FC4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FE">
              <w:rPr>
                <w:rFonts w:ascii="Times New Roman" w:hAnsi="Times New Roman"/>
                <w:sz w:val="24"/>
                <w:szCs w:val="24"/>
              </w:rPr>
              <w:t xml:space="preserve">3. Жити разом: поєднання різноманіття і свободи в Європі 21-го століття: </w:t>
            </w:r>
            <w:proofErr w:type="spellStart"/>
            <w:r w:rsidRPr="00CA6A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CA6AFE">
              <w:rPr>
                <w:rFonts w:ascii="Times New Roman" w:hAnsi="Times New Roman"/>
                <w:sz w:val="24"/>
                <w:szCs w:val="24"/>
              </w:rPr>
              <w:t xml:space="preserve">. Групи видатних осіб Ради Європи : [пер. з </w:t>
            </w:r>
            <w:proofErr w:type="spellStart"/>
            <w:r w:rsidRPr="00CA6AFE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A6AFE">
              <w:rPr>
                <w:rFonts w:ascii="Times New Roman" w:hAnsi="Times New Roman"/>
                <w:sz w:val="24"/>
                <w:szCs w:val="24"/>
              </w:rPr>
              <w:t>.]. – Львів : Літопис, 2011. – 112 с.</w:t>
            </w:r>
          </w:p>
          <w:p w:rsidR="00084FC4" w:rsidRPr="008D53F0" w:rsidRDefault="00084FC4" w:rsidP="00C02CE2">
            <w:pPr>
              <w:shd w:val="clear" w:color="auto" w:fill="FFFFFF"/>
              <w:spacing w:after="0" w:line="240" w:lineRule="auto"/>
              <w:ind w:right="819"/>
              <w:jc w:val="both"/>
              <w:rPr>
                <w:rFonts w:ascii="Times New Roman" w:hAnsi="Times New Roman"/>
                <w:i/>
              </w:rPr>
            </w:pPr>
            <w:r w:rsidRPr="00CA6AFE">
              <w:rPr>
                <w:rFonts w:ascii="Times New Roman" w:hAnsi="Times New Roman"/>
                <w:sz w:val="24"/>
                <w:szCs w:val="24"/>
              </w:rPr>
              <w:t>4</w:t>
            </w:r>
            <w:r w:rsidRPr="00CA6A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A6AFE">
              <w:rPr>
                <w:rStyle w:val="a6"/>
                <w:rFonts w:ascii="Times New Roman" w:hAnsi="Times New Roman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Кимлика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 У.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Современная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политическая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философия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: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введение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 /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Уилл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Кимлика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; [пер. с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англ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>. С. 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Моисеева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]. – М.: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Изд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Дом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Гос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Ун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-та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Высшей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школы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экономики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, 2010. – 592 с. </w:t>
            </w:r>
            <w:r w:rsidRPr="008D53F0">
              <w:rPr>
                <w:rFonts w:ascii="Times New Roman" w:hAnsi="Times New Roman"/>
                <w:i/>
              </w:rPr>
              <w:t xml:space="preserve">[Електронний ресурс]. – Режим доступуhttp://www.bilim.kz/admin/upload/files/MulticulturalismWord_6.rtf </w:t>
            </w:r>
          </w:p>
          <w:p w:rsidR="00084FC4" w:rsidRDefault="00084FC4" w:rsidP="00C02CE2">
            <w:pPr>
              <w:spacing w:after="0" w:line="240" w:lineRule="auto"/>
              <w:ind w:right="819"/>
              <w:jc w:val="both"/>
              <w:rPr>
                <w:rStyle w:val="a3"/>
                <w:rFonts w:ascii="Times New Roman" w:hAnsi="Times New Roman"/>
                <w:i/>
              </w:rPr>
            </w:pPr>
            <w:r w:rsidRPr="008D53F0">
              <w:rPr>
                <w:rStyle w:val="a6"/>
                <w:rFonts w:ascii="Times New Roman" w:hAnsi="Times New Roman"/>
                <w:i w:val="0"/>
              </w:rPr>
              <w:t xml:space="preserve">5.Кимлічка В. Лібералізм і права меншин /Вілл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Кимлічка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; [пер. з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англ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. Руслан Ткачук; гол. ред. і автор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передм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Дж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>. 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</w:rPr>
              <w:t>Перлін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</w:rPr>
              <w:t xml:space="preserve">; наук. ред. І. Лизогуб]. – Харків: Центр Освітніх Ініціатив, 2001. – 176 с. </w:t>
            </w:r>
            <w:r w:rsidRPr="008D53F0">
              <w:rPr>
                <w:rFonts w:ascii="Times New Roman" w:hAnsi="Times New Roman"/>
                <w:i/>
              </w:rPr>
              <w:t>[Електронний ресурс].</w:t>
            </w:r>
            <w:r w:rsidRPr="00CA6AFE">
              <w:rPr>
                <w:rFonts w:ascii="Times New Roman" w:hAnsi="Times New Roman"/>
              </w:rPr>
              <w:t xml:space="preserve"> – Режим доступу: </w:t>
            </w:r>
            <w:hyperlink r:id="rId9" w:history="1">
              <w:r w:rsidRPr="00CA6AFE">
                <w:rPr>
                  <w:rStyle w:val="a3"/>
                  <w:rFonts w:ascii="Times New Roman" w:hAnsi="Times New Roman"/>
                  <w:i/>
                </w:rPr>
                <w:t>http://politzone.in.ua/index.php?id=448</w:t>
              </w:r>
            </w:hyperlink>
          </w:p>
          <w:p w:rsidR="00084FC4" w:rsidRPr="00CA6AFE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color w:val="000000"/>
              </w:rPr>
            </w:pPr>
            <w:r w:rsidRPr="00CA6AFE">
              <w:rPr>
                <w:rStyle w:val="a3"/>
                <w:rFonts w:ascii="Times New Roman" w:hAnsi="Times New Roman"/>
                <w:color w:val="auto"/>
                <w:u w:val="none"/>
              </w:rPr>
              <w:t>6</w:t>
            </w:r>
            <w:r w:rsidRPr="00CA6AFE">
              <w:rPr>
                <w:rStyle w:val="a3"/>
                <w:rFonts w:ascii="Times New Roman" w:hAnsi="Times New Roman"/>
                <w:i/>
              </w:rPr>
              <w:t>.</w:t>
            </w:r>
            <w:r w:rsidRPr="00CA6AFE">
              <w:rPr>
                <w:rFonts w:ascii="Times New Roman" w:hAnsi="Times New Roman"/>
              </w:rPr>
              <w:t xml:space="preserve">Крепон М. Європейські </w:t>
            </w:r>
            <w:proofErr w:type="spellStart"/>
            <w:r w:rsidRPr="00CA6AFE">
              <w:rPr>
                <w:rFonts w:ascii="Times New Roman" w:hAnsi="Times New Roman"/>
              </w:rPr>
              <w:t>іншості</w:t>
            </w:r>
            <w:proofErr w:type="spellEnd"/>
            <w:r w:rsidRPr="00CA6AFE">
              <w:rPr>
                <w:rFonts w:ascii="Times New Roman" w:hAnsi="Times New Roman"/>
              </w:rPr>
              <w:t xml:space="preserve"> /Марк </w:t>
            </w:r>
            <w:proofErr w:type="spellStart"/>
            <w:r w:rsidRPr="00CA6AFE">
              <w:rPr>
                <w:rFonts w:ascii="Times New Roman" w:hAnsi="Times New Roman"/>
              </w:rPr>
              <w:t>Крепон</w:t>
            </w:r>
            <w:proofErr w:type="spellEnd"/>
            <w:r w:rsidRPr="00CA6AFE">
              <w:rPr>
                <w:rFonts w:ascii="Times New Roman" w:hAnsi="Times New Roman"/>
              </w:rPr>
              <w:t xml:space="preserve">. – К.: </w:t>
            </w:r>
            <w:proofErr w:type="spellStart"/>
            <w:r w:rsidRPr="00CA6AFE">
              <w:rPr>
                <w:rFonts w:ascii="Times New Roman" w:hAnsi="Times New Roman"/>
              </w:rPr>
              <w:t>Укр</w:t>
            </w:r>
            <w:proofErr w:type="spellEnd"/>
            <w:r w:rsidRPr="00CA6AFE">
              <w:rPr>
                <w:rFonts w:ascii="Times New Roman" w:hAnsi="Times New Roman"/>
              </w:rPr>
              <w:t xml:space="preserve">. центр духовної культури, 2011. – 184 с. 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Style w:val="a3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618D">
              <w:rPr>
                <w:rFonts w:ascii="Times New Roman" w:hAnsi="Times New Roman"/>
                <w:sz w:val="24"/>
                <w:szCs w:val="24"/>
              </w:rPr>
              <w:t xml:space="preserve">.Преамбула Статуту ООН [Електронний ресурс]. – Режим доступу: </w:t>
            </w:r>
            <w:hyperlink r:id="rId10" w:history="1">
              <w:r w:rsidRPr="00D0618D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http://www.un.org/ru/documents/charter/</w:t>
              </w:r>
            </w:hyperlink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D0618D">
              <w:rPr>
                <w:rFonts w:ascii="Times New Roman" w:hAnsi="Times New Roman"/>
                <w:sz w:val="24"/>
                <w:szCs w:val="24"/>
              </w:rPr>
              <w:t xml:space="preserve">.Тейлор Ч. Мультикультуралізм і «Політика визнання» / Чарльз Тейлор. – К.: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Альтпрес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>, 2004. – 172 с.</w:t>
            </w:r>
          </w:p>
          <w:p w:rsidR="00084FC4" w:rsidRPr="00D0618D" w:rsidRDefault="00084FC4" w:rsidP="00C02CE2">
            <w:pPr>
              <w:pStyle w:val="a5"/>
              <w:shd w:val="clear" w:color="auto" w:fill="FAFAFA"/>
              <w:spacing w:before="0" w:beforeAutospacing="0" w:after="41" w:afterAutospacing="0"/>
              <w:ind w:right="819"/>
              <w:jc w:val="both"/>
            </w:pPr>
            <w:r>
              <w:t>9</w:t>
            </w:r>
            <w:r w:rsidRPr="00D0618D">
              <w:t xml:space="preserve">.Ahrens R. </w:t>
            </w:r>
            <w:proofErr w:type="spellStart"/>
            <w:r w:rsidRPr="00D0618D">
              <w:t>Europaische</w:t>
            </w:r>
            <w:proofErr w:type="spellEnd"/>
            <w:r w:rsidRPr="00D0618D">
              <w:t xml:space="preserve"> </w:t>
            </w:r>
            <w:proofErr w:type="spellStart"/>
            <w:r w:rsidRPr="00D0618D">
              <w:t>Sprachenpolitik</w:t>
            </w:r>
            <w:proofErr w:type="spellEnd"/>
            <w:r w:rsidRPr="00D0618D">
              <w:t xml:space="preserve"> / R. </w:t>
            </w:r>
            <w:proofErr w:type="spellStart"/>
            <w:r w:rsidRPr="00D0618D">
              <w:t>Ahrens</w:t>
            </w:r>
            <w:proofErr w:type="spellEnd"/>
            <w:r w:rsidRPr="00D0618D">
              <w:t xml:space="preserve"> // </w:t>
            </w:r>
            <w:proofErr w:type="spellStart"/>
            <w:r w:rsidRPr="00D0618D">
              <w:t>Ruthke</w:t>
            </w:r>
            <w:proofErr w:type="spellEnd"/>
            <w:r w:rsidRPr="00D0618D">
              <w:t xml:space="preserve"> D. </w:t>
            </w:r>
            <w:proofErr w:type="spellStart"/>
            <w:r w:rsidRPr="00D0618D">
              <w:t>Europaische</w:t>
            </w:r>
            <w:proofErr w:type="spellEnd"/>
            <w:r w:rsidRPr="00D0618D">
              <w:t xml:space="preserve"> </w:t>
            </w:r>
            <w:proofErr w:type="spellStart"/>
            <w:r w:rsidRPr="00D0618D">
              <w:t>Mehrsprachigkeit</w:t>
            </w:r>
            <w:proofErr w:type="spellEnd"/>
            <w:r w:rsidRPr="00D0618D">
              <w:t xml:space="preserve">. </w:t>
            </w:r>
            <w:proofErr w:type="spellStart"/>
            <w:r w:rsidRPr="00D0618D">
              <w:t>Analyse</w:t>
            </w:r>
            <w:proofErr w:type="spellEnd"/>
            <w:r w:rsidRPr="00D0618D">
              <w:t xml:space="preserve"> </w:t>
            </w:r>
            <w:r w:rsidRPr="00D0618D">
              <w:rPr>
                <w:rStyle w:val="a6"/>
              </w:rPr>
              <w:t>–</w:t>
            </w:r>
            <w:r w:rsidRPr="00D0618D">
              <w:t xml:space="preserve"> </w:t>
            </w:r>
            <w:proofErr w:type="spellStart"/>
            <w:r w:rsidRPr="00D0618D">
              <w:t>Konzepte-Dokumente</w:t>
            </w:r>
            <w:proofErr w:type="spellEnd"/>
            <w:r w:rsidRPr="00D0618D">
              <w:t xml:space="preserve">. </w:t>
            </w:r>
            <w:r w:rsidRPr="00D0618D">
              <w:rPr>
                <w:rStyle w:val="a6"/>
              </w:rPr>
              <w:t>–</w:t>
            </w:r>
            <w:r w:rsidRPr="00D0618D">
              <w:t xml:space="preserve"> </w:t>
            </w:r>
            <w:proofErr w:type="spellStart"/>
            <w:r w:rsidRPr="00D0618D">
              <w:t>Aachen:Shaker</w:t>
            </w:r>
            <w:proofErr w:type="spellEnd"/>
            <w:r w:rsidRPr="00D0618D">
              <w:t xml:space="preserve"> </w:t>
            </w:r>
            <w:proofErr w:type="spellStart"/>
            <w:r w:rsidRPr="00D0618D">
              <w:t>Verlag</w:t>
            </w:r>
            <w:proofErr w:type="spellEnd"/>
            <w:r w:rsidRPr="00D0618D">
              <w:t xml:space="preserve">, 2002. </w:t>
            </w:r>
            <w:r w:rsidRPr="00D0618D">
              <w:rPr>
                <w:rStyle w:val="a6"/>
              </w:rPr>
              <w:t>–</w:t>
            </w:r>
            <w:r w:rsidRPr="00D0618D">
              <w:t xml:space="preserve"> S. 139</w:t>
            </w:r>
            <w:r w:rsidRPr="00D0618D">
              <w:rPr>
                <w:rStyle w:val="a6"/>
              </w:rPr>
              <w:t>–</w:t>
            </w:r>
            <w:r w:rsidRPr="00D0618D">
              <w:t>148.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618D">
              <w:rPr>
                <w:rFonts w:ascii="Times New Roman" w:hAnsi="Times New Roman"/>
                <w:sz w:val="24"/>
                <w:szCs w:val="24"/>
              </w:rPr>
              <w:t xml:space="preserve">.Beacco J.-C.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Relaunching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multilingual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Final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report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Jean-Claude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Beacco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Relating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call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tender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EAC/31/05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Commission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2010 –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Languages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EXP LG 02/2007 EN. [Електронний ресурс]. – Режим доступу: [http://www.poliglotti4.eu/docs/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relaunching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_ multilingual_education.pdf]. 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618D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 w:rsidRPr="00D0618D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Canadian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Multiculturalism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Act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[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Еlectronic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resource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] //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Department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of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Justice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Canada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0618D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– Access mode: </w:t>
            </w:r>
            <w:hyperlink r:id="rId11" w:anchor="h-1" w:history="1">
              <w:r w:rsidRPr="00D0618D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http://laws-lois.justice.gc.ca/acts/c-18.7/page-1.html#h-1</w:t>
              </w:r>
            </w:hyperlink>
            <w:r w:rsidRPr="00D0618D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>1</w:t>
            </w:r>
            <w:r w:rsidRPr="008D53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Kymlicka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W.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Multicultural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Citizenship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: A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Liberal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Theory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of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Minority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Rights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/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Will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Kymlicka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. –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New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York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Oxford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University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Press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Inc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., 1995. – 280 p.</w:t>
            </w:r>
          </w:p>
          <w:p w:rsidR="00084FC4" w:rsidRPr="00D0618D" w:rsidRDefault="00084FC4" w:rsidP="00C02CE2">
            <w:pPr>
              <w:pStyle w:val="a4"/>
              <w:spacing w:after="0" w:line="360" w:lineRule="auto"/>
              <w:ind w:right="81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Література: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 xml:space="preserve">1.Бандурка А. Сім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облич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мультикультуралізму /А.С. Бандурка //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Гілея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: науковий вісник: [збірка наукових праць]. – К.: ВІР УАН, 2012. –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>. 60 (5). – С. 29–36.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>2.Бандурка А. До проблеми розуміння толерантності / А.С. Бандурка, О.В. Тягло //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Гілея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: науковий вісник: [збірка наукових праць]. – К.: ВІР УАН, 2012. –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>. 58(3). – С. 299–303.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 xml:space="preserve">3.Бандурка А. Строката ковдра мультикультуралізму: монографія /А. С. Бандурка; за наук. ред. проф. О. В. Тягла. – Харків: Золота миля, 2013. – 198 с. 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 xml:space="preserve">4.Бахов І. Реалізація ідеї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полікультурності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в освіті США і країнах Європи: сучасний стан і перспективи розвитку // Молодь і ринок </w:t>
            </w:r>
            <w:r w:rsidRPr="00D0618D">
              <w:rPr>
                <w:rFonts w:ascii="Times New Roman" w:hAnsi="Times New Roman"/>
                <w:sz w:val="24"/>
                <w:szCs w:val="24"/>
              </w:rPr>
              <w:noBreakHyphen/>
              <w:t xml:space="preserve"> №3 (110). 2014. – С. 96–101.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 xml:space="preserve">5.Вардазарян С.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мультикультурализма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примере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стран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Западной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Европы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конструктивизм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деструктивизм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/[Електронний ресурс]. – Режим доступу: </w:t>
            </w:r>
            <w:hyperlink r:id="rId12" w:history="1">
              <w:r w:rsidRPr="00D0618D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https://rauresearch.wordpress.com/2012/02/13/</w:t>
              </w:r>
            </w:hyperlink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>6.Граціотова В. Концептуальний вимір мультикультуралізму в Західній Європі //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Гілея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18D">
              <w:rPr>
                <w:rFonts w:ascii="Times New Roman" w:hAnsi="Times New Roman"/>
                <w:sz w:val="24"/>
                <w:szCs w:val="24"/>
              </w:rPr>
              <w:noBreakHyphen/>
              <w:t xml:space="preserve"> № 102. Історична серія. </w:t>
            </w:r>
            <w:r w:rsidRPr="00D0618D">
              <w:rPr>
                <w:rFonts w:ascii="Times New Roman" w:hAnsi="Times New Roman"/>
                <w:sz w:val="24"/>
                <w:szCs w:val="24"/>
              </w:rPr>
              <w:noBreakHyphen/>
              <w:t xml:space="preserve"> С. 154–157.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>8.Дрожжина, С. Мультикультуралізм: теоретичні і практичні аспекти /С. Дрожжина// Політичний менеджмент. – 2008. – № 3. – С. 96–106.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 xml:space="preserve"> 9.Європейський Словник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філософій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: Лексикон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неперекладностей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Пер. з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>. – Т.2. – К.: Дух і літера, 2011. – 488 с.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>10</w:t>
            </w:r>
            <w:r w:rsidRPr="008D53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Концепція мультикультуралізму / відп. ред. С.О. Гомілко – Київ: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Стилос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, 2005. – 144 с.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Style w:val="a6"/>
                <w:rFonts w:ascii="Times New Roman" w:hAnsi="Times New Roman"/>
                <w:sz w:val="24"/>
                <w:szCs w:val="24"/>
              </w:rPr>
              <w:t>11.</w:t>
            </w:r>
            <w:r w:rsidRPr="00D0618D">
              <w:rPr>
                <w:rFonts w:ascii="Times New Roman" w:hAnsi="Times New Roman"/>
                <w:sz w:val="24"/>
                <w:szCs w:val="24"/>
              </w:rPr>
              <w:t>Кузнецова О. Перспективи іншомовної освіти у вищих навчальних закладах в євроінтеграційному вимірі //Вісник Житомирського державного університету. Педагогічні науки. 2013. Випуск 6 (72). – С.</w:t>
            </w:r>
            <w:r w:rsidRPr="00D061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0618D">
              <w:rPr>
                <w:rFonts w:ascii="Times New Roman" w:hAnsi="Times New Roman"/>
                <w:sz w:val="24"/>
                <w:szCs w:val="24"/>
              </w:rPr>
              <w:t xml:space="preserve">76–81. 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 xml:space="preserve">12.Культурно-цивілізаційний простір Європи і Україна: особливості становлення та сучасні тенденції розвитку. – К.: Університет «Україна», 2010. – 405 с. 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 xml:space="preserve">13.Леви-Стросс К. Раса и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/ К. Леви-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Строс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//Леви-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Строс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К. Путь масок; [пер. с.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., вступ. ст. и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примеч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>. А.Б. 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Островского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]. – М.: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>, 2000. – С. 323–356.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Style w:val="a3"/>
                <w:rFonts w:ascii="Times New Roman" w:hAnsi="Times New Roman"/>
                <w:i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14.Малик К. Провал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политики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мультикультурализма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сообщества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Европе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/Кенан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Малик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Foreign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Affairs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>. – 2015. – № 2 [Електронний ресурс]. – Режим доступу</w:t>
            </w:r>
            <w:r w:rsidRPr="00D0618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13" w:history="1">
              <w:r w:rsidRPr="00D0618D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http://www.2000.ua/foreing-affairschronicles-/regiony/strany-sng/proval-politiki-multikulturalizma-soobshestvaprotiv-obshestva-v-evrope.htm</w:t>
              </w:r>
            </w:hyperlink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>15.Мілютіна О. К. Полікультурна освіта як засіб соціалізації школярів країн Західної Європи в умовах глобалізаційних процесів / О. К. Мілютіна // Наукові записки Тернопільського національного педагогічного університету. Серія: Педагогіка. – Тернопіль: ТНПУ, 2005. – №</w:t>
            </w:r>
            <w:r w:rsidRPr="00D061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0618D">
              <w:rPr>
                <w:rFonts w:ascii="Times New Roman" w:hAnsi="Times New Roman"/>
                <w:sz w:val="24"/>
                <w:szCs w:val="24"/>
              </w:rPr>
              <w:t>1. – С. 153–156.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Style w:val="a6"/>
                <w:rFonts w:ascii="Times New Roman" w:hAnsi="Times New Roman"/>
                <w:sz w:val="24"/>
                <w:szCs w:val="24"/>
              </w:rPr>
              <w:t>16.</w:t>
            </w:r>
            <w:r w:rsidRPr="00D0618D">
              <w:rPr>
                <w:rFonts w:ascii="Times New Roman" w:hAnsi="Times New Roman"/>
                <w:sz w:val="24"/>
                <w:szCs w:val="24"/>
              </w:rPr>
              <w:t xml:space="preserve">Оврамець М. Проблеми інтеграції мігрантів та міжкультурного діалогу в діяльності міжнародних організацій // Михайло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Оврамець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//Дослідження світової політики.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наук. праць. – К., 2013. –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>. 4 (65). – С. 105–117.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0618D">
              <w:rPr>
                <w:rStyle w:val="a6"/>
                <w:rFonts w:ascii="Times New Roman" w:hAnsi="Times New Roman"/>
                <w:sz w:val="24"/>
                <w:szCs w:val="24"/>
              </w:rPr>
              <w:t>17.</w:t>
            </w:r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Основи демократії: [підручник для студентів вищих навчальних закладів; за </w:t>
            </w:r>
            <w:proofErr w:type="spellStart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заг</w:t>
            </w:r>
            <w:proofErr w:type="spellEnd"/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 ред. А.Ф. Колодій; третє видання, оновлене і доповнене]. – Львів: Астролябія, 2009. – 832 с.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 xml:space="preserve">18.Рено Ф. Мультикультуралізм /Філіп Рено // Європейський словник філософії. Лексикон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неперекладностей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Наукові керівники проекту: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Барбара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Кассен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і Костянтин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Сігов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; [пер. з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.]. – Вид. друге,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виправл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– К.: Дух і літера, 2011. – Т. 1. – С. 326–329. 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 xml:space="preserve">19.Сприяння поширення толерантності у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поліетнічному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суспільстві / О. Майборода, Р.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Чілачава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, Т. Пилипенко та ін. - К.: Фонд «Європа XXI», </w:t>
            </w:r>
            <w:r w:rsidRPr="00D0618D">
              <w:rPr>
                <w:rStyle w:val="a6"/>
                <w:rFonts w:ascii="Times New Roman" w:hAnsi="Times New Roman"/>
                <w:sz w:val="24"/>
                <w:szCs w:val="24"/>
              </w:rPr>
              <w:t>–</w:t>
            </w:r>
            <w:r w:rsidRPr="00D0618D">
              <w:rPr>
                <w:rFonts w:ascii="Times New Roman" w:hAnsi="Times New Roman"/>
                <w:sz w:val="24"/>
                <w:szCs w:val="24"/>
              </w:rPr>
              <w:t xml:space="preserve"> К., 2002. – 312 с.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>20.Ткаченко І. Криза ідеї європейського мультикультуралізму: економічний і релігійний чинники / І.В. Ткаченко; монографія / [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Кудряченко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А.І. та ін.]; наук. ред. – д-р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іст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наук, проф. А.І.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Кудряченко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філос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наук, доц. Т.О.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Метельова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установа - Ін-т всесвіт. історії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. акад. наук України‖. – Київ: Фенікс, 2014. – 441 с. – С. 372–386. </w:t>
            </w:r>
          </w:p>
          <w:p w:rsidR="00084FC4" w:rsidRPr="00D0618D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 xml:space="preserve">21.Толерантність у </w:t>
            </w:r>
            <w:proofErr w:type="spellStart"/>
            <w:r w:rsidRPr="00D0618D">
              <w:rPr>
                <w:rFonts w:ascii="Times New Roman" w:hAnsi="Times New Roman"/>
                <w:sz w:val="24"/>
                <w:szCs w:val="24"/>
              </w:rPr>
              <w:t>поліетнічному</w:t>
            </w:r>
            <w:proofErr w:type="spellEnd"/>
            <w:r w:rsidRPr="00D0618D">
              <w:rPr>
                <w:rFonts w:ascii="Times New Roman" w:hAnsi="Times New Roman"/>
                <w:sz w:val="24"/>
                <w:szCs w:val="24"/>
              </w:rPr>
              <w:t xml:space="preserve"> суспільстві: питання теорії і практики. – К.: Фонд «Європа ХХІ», 2003. – 156 с. </w:t>
            </w:r>
          </w:p>
          <w:p w:rsidR="00084FC4" w:rsidRPr="008D53F0" w:rsidRDefault="00084FC4" w:rsidP="00C02CE2">
            <w:pPr>
              <w:spacing w:after="0" w:line="240" w:lineRule="auto"/>
              <w:ind w:right="819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0618D">
              <w:rPr>
                <w:rFonts w:ascii="Times New Roman" w:hAnsi="Times New Roman"/>
                <w:sz w:val="24"/>
                <w:szCs w:val="24"/>
              </w:rPr>
              <w:t>22.</w:t>
            </w:r>
            <w:r w:rsidRPr="008D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Тягло О. Толерантність у сучасному світі: досвід міждисциплінарного дослідження / О.В. Тягло // Вісник Харківського державного університету. – 1998. – № 414. Наука і соціальні проблеми суспільства. – С. 130–137.</w:t>
            </w:r>
          </w:p>
          <w:p w:rsidR="00084FC4" w:rsidRPr="008D53F0" w:rsidRDefault="00084FC4" w:rsidP="00C02CE2">
            <w:pPr>
              <w:spacing w:after="0" w:line="240" w:lineRule="auto"/>
              <w:ind w:right="8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D53F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24.Федотова В. Єдність і багатоманітність культур за умов глобалізації /В. Федотова //Філософська думка. – 2011. – №4. – С. 64–75.</w:t>
            </w:r>
          </w:p>
          <w:p w:rsidR="00084FC4" w:rsidRPr="00841886" w:rsidRDefault="00084FC4" w:rsidP="00C02CE2">
            <w:pPr>
              <w:shd w:val="clear" w:color="auto" w:fill="FFFFFF"/>
              <w:spacing w:after="0" w:line="240" w:lineRule="auto"/>
              <w:ind w:firstLine="51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fr-FR" w:eastAsia="uk-UA"/>
              </w:rPr>
            </w:pP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71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1371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годин аудиторних занять</w:t>
            </w:r>
            <w:r w:rsidR="0071371F">
              <w:rPr>
                <w:rFonts w:ascii="Times New Roman" w:eastAsia="Times New Roman" w:hAnsi="Times New Roman"/>
                <w:sz w:val="24"/>
                <w:szCs w:val="24"/>
              </w:rPr>
              <w:t>, з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 w:rsidR="0071371F" w:rsidRPr="0071371F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  <w:r w:rsidR="0071371F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 та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7137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71371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У кінці курсу студент повинен: </w:t>
            </w:r>
          </w:p>
          <w:p w:rsidR="00084FC4" w:rsidRPr="00841886" w:rsidRDefault="00084FC4" w:rsidP="00C02CE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знати </w:t>
            </w:r>
          </w:p>
          <w:p w:rsidR="00084FC4" w:rsidRPr="00004BBF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 xml:space="preserve">правові засади </w:t>
            </w:r>
            <w:proofErr w:type="spellStart"/>
            <w:r w:rsidRPr="00004BBF">
              <w:rPr>
                <w:rFonts w:ascii="Times New Roman" w:hAnsi="Times New Roman"/>
                <w:sz w:val="24"/>
                <w:szCs w:val="24"/>
              </w:rPr>
              <w:t>мультикультуральної</w:t>
            </w:r>
            <w:proofErr w:type="spellEnd"/>
            <w:r w:rsidRPr="00004BBF">
              <w:rPr>
                <w:rFonts w:ascii="Times New Roman" w:hAnsi="Times New Roman"/>
                <w:sz w:val="24"/>
                <w:szCs w:val="24"/>
              </w:rPr>
              <w:t xml:space="preserve"> політики європейських держав; </w:t>
            </w:r>
          </w:p>
          <w:p w:rsidR="00084FC4" w:rsidRPr="00004BBF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 xml:space="preserve">повноваження державних інституцій, що займаються проблемами мігрантів та національних меншин; </w:t>
            </w:r>
          </w:p>
          <w:p w:rsidR="00084FC4" w:rsidRPr="00004BBF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>юридично закріплені права та обов’язки представників національних меншин та нових спільнот;</w:t>
            </w:r>
          </w:p>
          <w:p w:rsidR="00084FC4" w:rsidRPr="00004BBF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>вплив заворушень, бунтів та терактів на імміграційну політику;</w:t>
            </w:r>
          </w:p>
          <w:p w:rsidR="00084FC4" w:rsidRPr="00004BBF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lastRenderedPageBreak/>
              <w:t>складнощі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4BBF">
              <w:rPr>
                <w:rFonts w:ascii="Times New Roman" w:hAnsi="Times New Roman"/>
                <w:sz w:val="24"/>
                <w:szCs w:val="24"/>
              </w:rPr>
              <w:t xml:space="preserve"> з якими стикаються мігранти при адаптації у соціокультурний простір;</w:t>
            </w:r>
          </w:p>
          <w:p w:rsidR="00084FC4" w:rsidRPr="00004BBF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>мотиви, якими керуються уряди при лібералізації міграційного законодавства;</w:t>
            </w:r>
          </w:p>
          <w:p w:rsidR="00084FC4" w:rsidRPr="00004BBF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BF">
              <w:rPr>
                <w:rFonts w:ascii="Times New Roman" w:hAnsi="Times New Roman"/>
                <w:sz w:val="24"/>
                <w:szCs w:val="24"/>
              </w:rPr>
              <w:t xml:space="preserve">суспільні стереотипи 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представників </w:t>
            </w:r>
            <w:r w:rsidRPr="00004BBF">
              <w:rPr>
                <w:rFonts w:ascii="Times New Roman" w:hAnsi="Times New Roman"/>
                <w:sz w:val="24"/>
                <w:szCs w:val="24"/>
              </w:rPr>
              <w:t>нових спільнот</w:t>
            </w:r>
            <w:r>
              <w:t>;</w:t>
            </w:r>
          </w:p>
          <w:p w:rsidR="00084FC4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ксенофобські настрої;</w:t>
            </w:r>
          </w:p>
          <w:p w:rsidR="00084FC4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міжкультурні, міжнаціональні та міжрелігійні діалоги;</w:t>
            </w:r>
          </w:p>
          <w:p w:rsidR="00084FC4" w:rsidRPr="00841886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внесок представників національних меншин та нових спільнот у творення культурної спадщини європейської цивілізації.</w:t>
            </w:r>
          </w:p>
          <w:p w:rsidR="00084FC4" w:rsidRPr="00841886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пояснити</w:t>
            </w:r>
            <w:r w:rsidRPr="008418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FC4" w:rsidRPr="00841886" w:rsidRDefault="00084FC4" w:rsidP="00C02CE2">
            <w:pPr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 xml:space="preserve">терміни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багатокультурність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>”,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мультикультуралізм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полікультурність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>”,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толерантність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акультурація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“дискримінація”, “</w:t>
            </w:r>
            <w:r>
              <w:rPr>
                <w:rFonts w:ascii="Times New Roman" w:hAnsi="Times New Roman"/>
                <w:sz w:val="24"/>
                <w:szCs w:val="24"/>
              </w:rPr>
              <w:t>спільнота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</w:rPr>
              <w:t>національна меншина”, “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  <w:lang w:val="en-US"/>
              </w:rPr>
              <w:t>ultural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  <w:lang w:val="en-US"/>
              </w:rPr>
              <w:t>diversity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”, “зони пріоритетного навчання”</w:t>
            </w:r>
            <w:r>
              <w:rPr>
                <w:rFonts w:ascii="Times New Roman" w:hAnsi="Times New Roman"/>
                <w:sz w:val="24"/>
                <w:szCs w:val="24"/>
              </w:rPr>
              <w:t>, “а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мбівалентний мультикультуралізм”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іслам</w:t>
            </w:r>
            <w:r>
              <w:rPr>
                <w:rFonts w:ascii="Times New Roman" w:hAnsi="Times New Roman"/>
                <w:sz w:val="24"/>
                <w:szCs w:val="24"/>
              </w:rPr>
              <w:t>офобія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ромофобія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трудові мігранти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</w:rPr>
              <w:t>біженці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/>
                <w:sz w:val="24"/>
                <w:szCs w:val="24"/>
              </w:rPr>
              <w:t>тощо.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Багатокультурність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, мультикультуралізм, акультурація, дискримінація, міграційна політика, нові спільноти, національні меншини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європейська цивілізація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D7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ередбачають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систематичний і послідовний виклад навчального матеріалу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інтерактивній</w:t>
            </w:r>
            <w:proofErr w:type="spellEnd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="00CD76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proofErr w:type="gram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виголошені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студентські</w:t>
            </w:r>
            <w:proofErr w:type="spellEnd"/>
            <w:proofErr w:type="gram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міні-дослідження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Засвоєння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вимагає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1.</w:t>
            </w:r>
            <w:r w:rsidRPr="00841886">
              <w:rPr>
                <w:rFonts w:ascii="Times New Roman" w:hAnsi="Times New Roman"/>
                <w:szCs w:val="28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Вступ, завдання та предмет курсу. Концептуальні засади сучасної європейської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багатокультурності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2.</w:t>
            </w:r>
            <w:r w:rsidRPr="00841886">
              <w:rPr>
                <w:rFonts w:ascii="Times New Roman" w:hAnsi="Times New Roman"/>
                <w:szCs w:val="28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Базові основи мультикультуралізму: європейська практика.</w:t>
            </w:r>
          </w:p>
          <w:p w:rsidR="00084FC4" w:rsidRPr="00841886" w:rsidRDefault="00084FC4" w:rsidP="00C02C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3.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Нація “доброї волі”: мультикультурна демократія Швейцарії.</w:t>
            </w:r>
          </w:p>
          <w:p w:rsidR="00084FC4" w:rsidRPr="00841886" w:rsidRDefault="00084FC4" w:rsidP="00C02C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4.</w:t>
            </w:r>
            <w:r w:rsidRPr="00841886">
              <w:rPr>
                <w:rFonts w:ascii="Times New Roman" w:hAnsi="Times New Roman"/>
                <w:szCs w:val="28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  <w:lang w:val="en-US"/>
              </w:rPr>
              <w:t>Multikulti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: німецький варіант політики 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</w:rPr>
              <w:t>багатокультурності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FC4" w:rsidRPr="00841886" w:rsidRDefault="00084FC4" w:rsidP="00C02CE2">
            <w:pPr>
              <w:pStyle w:val="a5"/>
              <w:shd w:val="clear" w:color="auto" w:fill="FFFFFF"/>
              <w:jc w:val="both"/>
            </w:pPr>
            <w:r w:rsidRPr="00841886">
              <w:rPr>
                <w:b/>
                <w:szCs w:val="28"/>
              </w:rPr>
              <w:t>Тема 5.</w:t>
            </w:r>
            <w:r w:rsidRPr="00841886">
              <w:rPr>
                <w:szCs w:val="28"/>
              </w:rPr>
              <w:t xml:space="preserve"> М</w:t>
            </w:r>
            <w:r w:rsidRPr="00841886">
              <w:t>ультикультуралізм у візії британського політикуму.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41886">
              <w:rPr>
                <w:rFonts w:ascii="Times New Roman" w:hAnsi="Times New Roman"/>
                <w:b/>
                <w:szCs w:val="28"/>
              </w:rPr>
              <w:t>6.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 xml:space="preserve"> Республіканська модель громадянської нації –  мультикультуралізм по-французьки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7.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Вдалі/невдалі спроби розв’язання історичних конфліктів у повоєнній Європі: на прикладі автономії Каталонії.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8.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Асиметрична децентралізація Італії – особливий шлях між федерацією та унітаризмом.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9</w:t>
            </w:r>
            <w:r w:rsidRPr="002771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771AF">
              <w:rPr>
                <w:rFonts w:ascii="Times New Roman" w:hAnsi="Times New Roman"/>
                <w:sz w:val="24"/>
                <w:szCs w:val="24"/>
              </w:rPr>
              <w:t>Національні меншини та нові спільноти Австрії.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10.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“Інтегруючий мультикультуралізм” Фінляндії – автономія Аландських островів.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11.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“С</w:t>
            </w:r>
            <w:proofErr w:type="spellStart"/>
            <w:r w:rsidRPr="00841886">
              <w:rPr>
                <w:rFonts w:ascii="Times New Roman" w:hAnsi="Times New Roman"/>
                <w:sz w:val="24"/>
                <w:szCs w:val="24"/>
                <w:lang w:val="en-US"/>
              </w:rPr>
              <w:t>ultural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  <w:lang w:val="en-US"/>
              </w:rPr>
              <w:t>diversity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 Швеції.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12.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“А</w:t>
            </w:r>
            <w:r>
              <w:rPr>
                <w:rFonts w:ascii="Times New Roman" w:hAnsi="Times New Roman"/>
                <w:sz w:val="24"/>
                <w:szCs w:val="24"/>
              </w:rPr>
              <w:t>мбівалентний мультикультуралізм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 Норвегії.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13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. “Уявна” монокультурність Данії.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14.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Скандинавський варіант захисту прав національних меншин.</w:t>
            </w:r>
          </w:p>
          <w:p w:rsidR="00084FC4" w:rsidRPr="00841886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lastRenderedPageBreak/>
              <w:t xml:space="preserve">Тема 15.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Мультикультурна демократія Нідерландів.</w:t>
            </w:r>
          </w:p>
          <w:p w:rsidR="00084FC4" w:rsidRDefault="00084FC4" w:rsidP="00C02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 xml:space="preserve">Тема 16.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Головні принципи функціонування національних меншин та  нових спільнот у Бельгії.</w:t>
            </w:r>
          </w:p>
          <w:p w:rsidR="000B1765" w:rsidRPr="002C6C98" w:rsidRDefault="000B1765" w:rsidP="00C02CE2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1</w:t>
            </w:r>
            <w:r>
              <w:rPr>
                <w:rFonts w:ascii="Times New Roman" w:hAnsi="Times New Roman"/>
                <w:b/>
                <w:szCs w:val="28"/>
              </w:rPr>
              <w:t>7</w:t>
            </w:r>
            <w:r w:rsidRPr="00841886">
              <w:rPr>
                <w:rFonts w:ascii="Times New Roman" w:hAnsi="Times New Roman"/>
                <w:b/>
                <w:szCs w:val="28"/>
              </w:rPr>
              <w:t>.</w:t>
            </w:r>
            <w:r w:rsidR="002C6C9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2C6C98" w:rsidRPr="002C6C98">
              <w:rPr>
                <w:rFonts w:ascii="Times New Roman" w:hAnsi="Times New Roman"/>
                <w:szCs w:val="28"/>
              </w:rPr>
              <w:t>Міграційна політика Греції.</w:t>
            </w:r>
          </w:p>
          <w:p w:rsidR="000B1765" w:rsidRDefault="000B1765" w:rsidP="000B1765">
            <w:pPr>
              <w:spacing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Тема 1</w:t>
            </w: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841886">
              <w:rPr>
                <w:rFonts w:ascii="Times New Roman" w:hAnsi="Times New Roman"/>
                <w:b/>
                <w:szCs w:val="28"/>
              </w:rPr>
              <w:t>.</w:t>
            </w:r>
            <w:r w:rsidR="002C6C9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2C6C98" w:rsidRPr="002C6C98">
              <w:rPr>
                <w:rFonts w:ascii="Times New Roman" w:hAnsi="Times New Roman"/>
                <w:szCs w:val="28"/>
              </w:rPr>
              <w:t>Сучасна європейська ідентичність.</w:t>
            </w:r>
          </w:p>
          <w:p w:rsidR="000B1765" w:rsidRPr="00841886" w:rsidRDefault="000B1765" w:rsidP="000B17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Тема 19. </w:t>
            </w:r>
            <w:r w:rsidRPr="000B1765">
              <w:rPr>
                <w:rFonts w:ascii="Times New Roman" w:hAnsi="Times New Roman"/>
                <w:szCs w:val="28"/>
              </w:rPr>
              <w:t>Підсумки курсу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Недиференційований залік оформляється за результатами роботи в семестрі.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дисципліни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«</w:t>
            </w:r>
            <w:r w:rsidRPr="008418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Новітня історія країн Західної Європи та </w:t>
            </w:r>
            <w:proofErr w:type="spellStart"/>
            <w:r w:rsidRPr="00841886">
              <w:rPr>
                <w:rFonts w:ascii="Times New Roman" w:eastAsia="Times New Roman" w:hAnsi="Times New Roman"/>
                <w:i/>
                <w:sz w:val="24"/>
                <w:szCs w:val="24"/>
              </w:rPr>
              <w:t>Півн</w:t>
            </w:r>
            <w:proofErr w:type="spellEnd"/>
            <w:r w:rsidRPr="00841886">
              <w:rPr>
                <w:rFonts w:ascii="Times New Roman" w:eastAsia="Times New Roman" w:hAnsi="Times New Roman"/>
                <w:i/>
                <w:sz w:val="24"/>
                <w:szCs w:val="24"/>
              </w:rPr>
              <w:t>. Америки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»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, достатніх для сприйняття категоріального апарату та розуміння джерел.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Лекції, практичні заняття на яких студенти матимуть змогу в формі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проєкта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-презентації представити власні самостійні міні-дослідження та дискутувати на окреслені тематикою курсу проблеми.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Зокрема, 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Усні (лекція-бесіда, доповідь-презентація, рецензія,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опонування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, дискусія); 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Наочні (медіа-презентації, робота з картами, статистичними графіками, візуальними зображеннями); 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Практичні (підготовка студентами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проєктів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-презентацій).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 xml:space="preserve">Аудиторія, обладнана медіа-проектором, онлайн платформа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, карти, графічні зображення, плакати, фотодокументи.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50%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50 б.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r w:rsidR="002C6C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="002C6C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C6C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2C6C98" w:rsidRPr="000B176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  <w:r w:rsidR="002C6C98"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 б.</w:t>
            </w:r>
            <w:r w:rsidR="002C6C98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C6C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лекційн</w:t>
            </w:r>
            <w:r w:rsidR="002C6C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ими</w:t>
            </w:r>
            <w:proofErr w:type="spellEnd"/>
            <w:r w:rsidR="002C6C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темами,</w:t>
            </w:r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</w:t>
            </w:r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тестовому </w:t>
            </w:r>
            <w:proofErr w:type="spellStart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Moodl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працювання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студентами </w:t>
            </w:r>
            <w:proofErr w:type="spellStart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графіків</w:t>
            </w:r>
            <w:proofErr w:type="spellEnd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ілюстративного</w:t>
            </w:r>
            <w:proofErr w:type="spellEnd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1765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подальшого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представлення</w:t>
            </w:r>
            <w:proofErr w:type="spellEnd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перед </w:t>
            </w:r>
            <w:proofErr w:type="spellStart"/>
            <w:proofErr w:type="gramStart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колегами</w:t>
            </w:r>
            <w:proofErr w:type="spellEnd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проєкт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-презентаці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ї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0%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 б.</w:t>
            </w:r>
            <w:r w:rsidR="002C6C9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B1765" w:rsidRP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 активна участь </w:t>
            </w:r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лекціях-бесідах</w:t>
            </w:r>
            <w:proofErr w:type="spellEnd"/>
            <w:r w:rsidR="000B17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B176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C6C98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="002C6C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2C6C98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0% </w:t>
            </w:r>
            <w:proofErr w:type="spellStart"/>
            <w:r w:rsidR="002C6C98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2C6C98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6C98"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2C6C98"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(</w:t>
            </w:r>
            <w:r w:rsidR="002C6C9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б</w:t>
            </w:r>
            <w:r w:rsidR="002C6C9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):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084FC4" w:rsidRPr="00841886" w:rsidRDefault="00084FC4" w:rsidP="00C02CE2">
            <w:pPr>
              <w:spacing w:line="240" w:lineRule="auto"/>
              <w:ind w:left="142"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886">
              <w:rPr>
                <w:rFonts w:ascii="Times New Roman" w:hAnsi="Times New Roman"/>
                <w:b/>
                <w:szCs w:val="28"/>
              </w:rPr>
              <w:t>Індивідуальні завдання: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</w:rPr>
              <w:t xml:space="preserve">Ян </w:t>
            </w:r>
            <w:proofErr w:type="spellStart"/>
            <w:r w:rsidRPr="00841886">
              <w:rPr>
                <w:rFonts w:ascii="Times New Roman" w:hAnsi="Times New Roman"/>
              </w:rPr>
              <w:t>Зелонка</w:t>
            </w:r>
            <w:proofErr w:type="spellEnd"/>
            <w:r w:rsidRPr="00841886">
              <w:rPr>
                <w:rFonts w:ascii="Times New Roman" w:hAnsi="Times New Roman"/>
              </w:rPr>
              <w:t xml:space="preserve"> про крах політики мультикультуралізму в Європі.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proofErr w:type="spellStart"/>
            <w:r w:rsidRPr="00841886">
              <w:rPr>
                <w:rFonts w:ascii="Times New Roman" w:hAnsi="Times New Roman"/>
                <w:iCs/>
              </w:rPr>
              <w:t>Інгеборге</w:t>
            </w:r>
            <w:proofErr w:type="spellEnd"/>
            <w:r w:rsidRPr="00841886">
              <w:rPr>
                <w:rFonts w:ascii="Times New Roman" w:hAnsi="Times New Roman"/>
                <w:iCs/>
              </w:rPr>
              <w:t xml:space="preserve"> Габріель і її бачення міжрелігійного діалогу.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  <w:iCs/>
              </w:rPr>
              <w:t xml:space="preserve">Європейські </w:t>
            </w:r>
            <w:proofErr w:type="spellStart"/>
            <w:r w:rsidRPr="00841886">
              <w:rPr>
                <w:rFonts w:ascii="Times New Roman" w:hAnsi="Times New Roman"/>
                <w:iCs/>
              </w:rPr>
              <w:t>іншості</w:t>
            </w:r>
            <w:proofErr w:type="spellEnd"/>
            <w:r w:rsidRPr="00841886">
              <w:rPr>
                <w:rFonts w:ascii="Times New Roman" w:hAnsi="Times New Roman"/>
                <w:iCs/>
              </w:rPr>
              <w:t xml:space="preserve"> Марка </w:t>
            </w:r>
            <w:proofErr w:type="spellStart"/>
            <w:r w:rsidRPr="00841886">
              <w:rPr>
                <w:rFonts w:ascii="Times New Roman" w:hAnsi="Times New Roman"/>
                <w:iCs/>
              </w:rPr>
              <w:t>Крепона</w:t>
            </w:r>
            <w:proofErr w:type="spellEnd"/>
            <w:r w:rsidRPr="00841886">
              <w:rPr>
                <w:rFonts w:ascii="Times New Roman" w:hAnsi="Times New Roman"/>
                <w:iCs/>
              </w:rPr>
              <w:t>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  <w:iCs/>
              </w:rPr>
              <w:t xml:space="preserve">Мирослав </w:t>
            </w:r>
            <w:proofErr w:type="spellStart"/>
            <w:r w:rsidRPr="00841886">
              <w:rPr>
                <w:rFonts w:ascii="Times New Roman" w:hAnsi="Times New Roman"/>
                <w:iCs/>
              </w:rPr>
              <w:t>Маринович</w:t>
            </w:r>
            <w:proofErr w:type="spellEnd"/>
            <w:r w:rsidRPr="00841886">
              <w:rPr>
                <w:rFonts w:ascii="Times New Roman" w:hAnsi="Times New Roman"/>
                <w:iCs/>
              </w:rPr>
              <w:t xml:space="preserve">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841886">
              <w:rPr>
                <w:rFonts w:ascii="Times New Roman" w:hAnsi="Times New Roman"/>
                <w:iCs/>
              </w:rPr>
              <w:t>Нова парадигма Європи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 w:rsidRPr="00841886">
              <w:rPr>
                <w:rFonts w:ascii="Times New Roman" w:hAnsi="Times New Roman"/>
                <w:iCs/>
              </w:rPr>
              <w:t>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841886">
              <w:rPr>
                <w:rFonts w:ascii="Times New Roman" w:hAnsi="Times New Roman"/>
                <w:iCs/>
              </w:rPr>
              <w:t xml:space="preserve">Єдність у </w:t>
            </w:r>
            <w:proofErr w:type="spellStart"/>
            <w:r w:rsidRPr="00841886">
              <w:rPr>
                <w:rFonts w:ascii="Times New Roman" w:hAnsi="Times New Roman"/>
                <w:iCs/>
              </w:rPr>
              <w:t>різноманоманітті</w:t>
            </w:r>
            <w:proofErr w:type="spellEnd"/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 w:rsidRPr="00841886">
              <w:rPr>
                <w:rFonts w:ascii="Times New Roman" w:hAnsi="Times New Roman"/>
                <w:iCs/>
              </w:rPr>
              <w:t>: політична доктрина чи соціокультурний феномен.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</w:rPr>
              <w:t>Фундаментальні цінності постіндустріальної Європи.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</w:rPr>
              <w:t xml:space="preserve">Нова Реконкіста. Гійом Фай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841886">
              <w:rPr>
                <w:rFonts w:ascii="Times New Roman" w:hAnsi="Times New Roman"/>
              </w:rPr>
              <w:t>Колонізація Європи. Правда про імміграцію та іслам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 w:rsidRPr="00841886">
              <w:rPr>
                <w:rFonts w:ascii="Times New Roman" w:hAnsi="Times New Roman"/>
              </w:rPr>
              <w:t>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  <w:iCs/>
              </w:rPr>
              <w:t xml:space="preserve">Т. </w:t>
            </w:r>
            <w:proofErr w:type="spellStart"/>
            <w:r w:rsidRPr="00841886">
              <w:rPr>
                <w:rFonts w:ascii="Times New Roman" w:hAnsi="Times New Roman"/>
                <w:iCs/>
              </w:rPr>
              <w:t>Флейнер</w:t>
            </w:r>
            <w:proofErr w:type="spellEnd"/>
            <w:r w:rsidRPr="00841886">
              <w:rPr>
                <w:rFonts w:ascii="Times New Roman" w:hAnsi="Times New Roman"/>
                <w:iCs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841886">
              <w:rPr>
                <w:rFonts w:ascii="Times New Roman" w:hAnsi="Times New Roman"/>
                <w:iCs/>
              </w:rPr>
              <w:t>Конституційна демократія в мультикультурному та глобалізаційному світі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 w:rsidRPr="00841886">
              <w:rPr>
                <w:rFonts w:ascii="Times New Roman" w:hAnsi="Times New Roman"/>
                <w:iCs/>
              </w:rPr>
              <w:t>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</w:rPr>
              <w:t>Ангела Меркель і її візії політики мультикультуралізму в Німеччині.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</w:rPr>
              <w:t xml:space="preserve"> Криза мультикультуралізму на прикладі Норвегії.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841886">
              <w:rPr>
                <w:rFonts w:ascii="Times New Roman" w:hAnsi="Times New Roman"/>
              </w:rPr>
              <w:t>Табір іде в небо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 w:rsidRPr="00841886">
              <w:rPr>
                <w:rFonts w:ascii="Times New Roman" w:hAnsi="Times New Roman"/>
              </w:rPr>
              <w:t>: проблеми акультурації ромів в соціокультурному просторі європейських країн.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841886">
              <w:rPr>
                <w:rFonts w:ascii="Times New Roman" w:hAnsi="Times New Roman"/>
              </w:rPr>
              <w:t>Небезпечна Європа» теракти 2015–2017 рр.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</w:rPr>
              <w:t xml:space="preserve">Міграційна криза 2015 р.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841886">
              <w:rPr>
                <w:rFonts w:ascii="Times New Roman" w:hAnsi="Times New Roman"/>
              </w:rPr>
              <w:t>Велике збурення Європи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 w:rsidRPr="00841886">
              <w:rPr>
                <w:rFonts w:ascii="Times New Roman" w:hAnsi="Times New Roman"/>
              </w:rPr>
              <w:t>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</w:rPr>
              <w:lastRenderedPageBreak/>
              <w:t xml:space="preserve">Два різновиди </w:t>
            </w:r>
            <w:proofErr w:type="spellStart"/>
            <w:r w:rsidRPr="00841886">
              <w:rPr>
                <w:rFonts w:ascii="Times New Roman" w:hAnsi="Times New Roman"/>
              </w:rPr>
              <w:t>багатокультурності</w:t>
            </w:r>
            <w:proofErr w:type="spellEnd"/>
            <w:r w:rsidRPr="00841886">
              <w:rPr>
                <w:rFonts w:ascii="Times New Roman" w:hAnsi="Times New Roman"/>
              </w:rPr>
              <w:t xml:space="preserve"> </w:t>
            </w:r>
            <w:r w:rsidRPr="00841886">
              <w:rPr>
                <w:rFonts w:ascii="Times New Roman" w:hAnsi="Times New Roman"/>
                <w:iCs/>
              </w:rPr>
              <w:t xml:space="preserve">Крістофера </w:t>
            </w:r>
            <w:proofErr w:type="spellStart"/>
            <w:r w:rsidRPr="00841886">
              <w:rPr>
                <w:rFonts w:ascii="Times New Roman" w:hAnsi="Times New Roman"/>
                <w:iCs/>
              </w:rPr>
              <w:t>Калдвелла</w:t>
            </w:r>
            <w:proofErr w:type="spellEnd"/>
            <w:r w:rsidRPr="00841886">
              <w:rPr>
                <w:rFonts w:ascii="Times New Roman" w:hAnsi="Times New Roman"/>
                <w:iCs/>
              </w:rPr>
              <w:t xml:space="preserve">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841886">
              <w:rPr>
                <w:rFonts w:ascii="Times New Roman" w:hAnsi="Times New Roman"/>
                <w:iCs/>
              </w:rPr>
              <w:t>Роздуми про революцію в Європі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 w:rsidRPr="00841886">
              <w:rPr>
                <w:rFonts w:ascii="Times New Roman" w:hAnsi="Times New Roman"/>
                <w:iCs/>
              </w:rPr>
              <w:t>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</w:rPr>
              <w:t xml:space="preserve">Критика </w:t>
            </w:r>
            <w:proofErr w:type="spellStart"/>
            <w:r w:rsidRPr="00841886">
              <w:rPr>
                <w:rFonts w:ascii="Times New Roman" w:hAnsi="Times New Roman"/>
              </w:rPr>
              <w:t>багатокультурності</w:t>
            </w:r>
            <w:proofErr w:type="spellEnd"/>
            <w:r w:rsidRPr="00841886">
              <w:rPr>
                <w:rFonts w:ascii="Times New Roman" w:hAnsi="Times New Roman"/>
              </w:rPr>
              <w:t xml:space="preserve"> європейців: 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841886">
              <w:rPr>
                <w:rFonts w:ascii="Times New Roman" w:hAnsi="Times New Roman"/>
              </w:rPr>
              <w:t>Лють та гордість</w:t>
            </w:r>
            <w:r w:rsidRPr="00841886">
              <w:rPr>
                <w:rFonts w:ascii="Times New Roman" w:hAnsi="Times New Roman"/>
                <w:sz w:val="24"/>
                <w:szCs w:val="24"/>
              </w:rPr>
              <w:t>”</w:t>
            </w:r>
            <w:r w:rsidRPr="00841886">
              <w:rPr>
                <w:rFonts w:ascii="Times New Roman" w:hAnsi="Times New Roman"/>
              </w:rPr>
              <w:t xml:space="preserve"> </w:t>
            </w:r>
            <w:proofErr w:type="spellStart"/>
            <w:r w:rsidRPr="00841886">
              <w:rPr>
                <w:rFonts w:ascii="Times New Roman" w:hAnsi="Times New Roman"/>
              </w:rPr>
              <w:t>Оріани</w:t>
            </w:r>
            <w:proofErr w:type="spellEnd"/>
            <w:r w:rsidRPr="00841886">
              <w:rPr>
                <w:rFonts w:ascii="Times New Roman" w:hAnsi="Times New Roman"/>
              </w:rPr>
              <w:t xml:space="preserve"> </w:t>
            </w:r>
            <w:proofErr w:type="spellStart"/>
            <w:r w:rsidRPr="00841886">
              <w:rPr>
                <w:rFonts w:ascii="Times New Roman" w:hAnsi="Times New Roman"/>
              </w:rPr>
              <w:t>Фаллачі</w:t>
            </w:r>
            <w:proofErr w:type="spellEnd"/>
            <w:r w:rsidRPr="00841886">
              <w:rPr>
                <w:rFonts w:ascii="Times New Roman" w:hAnsi="Times New Roman"/>
              </w:rPr>
              <w:t>.</w:t>
            </w:r>
          </w:p>
          <w:p w:rsidR="00084FC4" w:rsidRPr="009B0BFB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  <w:sz w:val="24"/>
                <w:szCs w:val="24"/>
              </w:rPr>
              <w:t>Концепції та нормативна база полікультурної освіти та виховання у європейських країнах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(приклад Бельгії).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proofErr w:type="spellStart"/>
            <w:r w:rsidRPr="00841886">
              <w:rPr>
                <w:rFonts w:ascii="Times New Roman" w:hAnsi="Times New Roman"/>
                <w:iCs/>
              </w:rPr>
              <w:t>Багатокультурність</w:t>
            </w:r>
            <w:proofErr w:type="spellEnd"/>
            <w:r w:rsidRPr="00841886">
              <w:rPr>
                <w:rFonts w:ascii="Times New Roman" w:hAnsi="Times New Roman"/>
                <w:iCs/>
              </w:rPr>
              <w:t xml:space="preserve"> в освітньому процесі Великобританії.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proofErr w:type="spellStart"/>
            <w:r w:rsidRPr="00841886">
              <w:rPr>
                <w:rFonts w:ascii="Times New Roman" w:hAnsi="Times New Roman"/>
                <w:iCs/>
              </w:rPr>
              <w:t>Мовна</w:t>
            </w:r>
            <w:proofErr w:type="spellEnd"/>
            <w:r w:rsidRPr="00841886">
              <w:rPr>
                <w:rFonts w:ascii="Times New Roman" w:hAnsi="Times New Roman"/>
                <w:iCs/>
              </w:rPr>
              <w:t xml:space="preserve"> політика сучасної Європи: </w:t>
            </w:r>
            <w:proofErr w:type="spellStart"/>
            <w:r w:rsidRPr="00841886">
              <w:rPr>
                <w:rFonts w:ascii="Times New Roman" w:hAnsi="Times New Roman"/>
                <w:iCs/>
              </w:rPr>
              <w:t>полілінгвальна</w:t>
            </w:r>
            <w:proofErr w:type="spellEnd"/>
            <w:r w:rsidRPr="00841886">
              <w:rPr>
                <w:rFonts w:ascii="Times New Roman" w:hAnsi="Times New Roman"/>
                <w:iCs/>
              </w:rPr>
              <w:t xml:space="preserve"> освіта на прикладі Іспанії.</w:t>
            </w:r>
          </w:p>
          <w:p w:rsidR="00084FC4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841886">
              <w:rPr>
                <w:rFonts w:ascii="Times New Roman" w:hAnsi="Times New Roman"/>
              </w:rPr>
              <w:t xml:space="preserve">Реалізація ідей </w:t>
            </w:r>
            <w:proofErr w:type="spellStart"/>
            <w:r w:rsidRPr="00841886">
              <w:rPr>
                <w:rFonts w:ascii="Times New Roman" w:hAnsi="Times New Roman"/>
              </w:rPr>
              <w:t>полікультурності</w:t>
            </w:r>
            <w:proofErr w:type="spellEnd"/>
            <w:r w:rsidRPr="00841886">
              <w:rPr>
                <w:rFonts w:ascii="Times New Roman" w:hAnsi="Times New Roman"/>
              </w:rPr>
              <w:t xml:space="preserve"> в освітньому процесі Греції.</w:t>
            </w:r>
          </w:p>
          <w:p w:rsidR="00084FC4" w:rsidRPr="00841886" w:rsidRDefault="00084FC4" w:rsidP="00084FC4">
            <w:pPr>
              <w:pStyle w:val="a4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Сучасна європейська ідентичність – це …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100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Відвідання</w:t>
            </w:r>
            <w:proofErr w:type="spellEnd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занять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запорукою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успішного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Очікується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матимуть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зацікавлення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відвідати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лекції</w:t>
            </w:r>
            <w:bookmarkStart w:id="0" w:name="_GoBack"/>
            <w:bookmarkEnd w:id="0"/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Важливим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дотримання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студентами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термінів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тестових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усних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програмою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курсу. </w:t>
            </w:r>
          </w:p>
          <w:p w:rsidR="00084FC4" w:rsidRPr="00841886" w:rsidRDefault="00084FC4" w:rsidP="00C02C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841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841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Академічна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недоброчесність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несвоєчасне виконання окреслених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програмою курсу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завдань, рівно ж як і запізнення та пропуск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занять</w:t>
            </w:r>
            <w:r w:rsidR="005250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без поважних причин</w:t>
            </w:r>
            <w:r w:rsidR="005250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толерується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 оформляється за результатами поточної успішності</w:t>
            </w:r>
          </w:p>
        </w:tc>
      </w:tr>
      <w:tr w:rsidR="00084FC4" w:rsidRPr="00841886" w:rsidTr="00C02CE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4" w:rsidRPr="00841886" w:rsidRDefault="00084FC4" w:rsidP="00C02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86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84FC4" w:rsidRPr="00841886" w:rsidRDefault="00084FC4" w:rsidP="00084FC4"/>
    <w:p w:rsidR="00084FC4" w:rsidRPr="00841886" w:rsidRDefault="00084FC4" w:rsidP="00084FC4"/>
    <w:p w:rsidR="003167A8" w:rsidRDefault="003167A8"/>
    <w:sectPr w:rsidR="00316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0D6"/>
    <w:multiLevelType w:val="hybridMultilevel"/>
    <w:tmpl w:val="6FC09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A8"/>
    <w:rsid w:val="00084FC4"/>
    <w:rsid w:val="000B1765"/>
    <w:rsid w:val="002C6C98"/>
    <w:rsid w:val="003167A8"/>
    <w:rsid w:val="0052509F"/>
    <w:rsid w:val="0071371F"/>
    <w:rsid w:val="008D53F0"/>
    <w:rsid w:val="009A73AA"/>
    <w:rsid w:val="00B863AB"/>
    <w:rsid w:val="00C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3C88-0338-409A-A96E-6AF53B49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FC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84FC4"/>
    <w:pPr>
      <w:ind w:left="720"/>
      <w:contextualSpacing/>
    </w:pPr>
    <w:rPr>
      <w:rFonts w:eastAsia="Times New Roman"/>
      <w:lang w:eastAsia="uk-UA"/>
    </w:rPr>
  </w:style>
  <w:style w:type="paragraph" w:styleId="a5">
    <w:name w:val="Normal (Web)"/>
    <w:basedOn w:val="a"/>
    <w:uiPriority w:val="99"/>
    <w:unhideWhenUsed/>
    <w:rsid w:val="00084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Emphasis"/>
    <w:aliases w:val="TNRoman14C"/>
    <w:basedOn w:val="a0"/>
    <w:uiPriority w:val="99"/>
    <w:qFormat/>
    <w:rsid w:val="00084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turmys@lnu.edu.ua" TargetMode="External"/><Relationship Id="rId13" Type="http://schemas.openxmlformats.org/officeDocument/2006/relationships/hyperlink" Target="http://www.2000.ua/foreing-affairschronicles-/regiony/strany-sng/proval-politiki-multikulturalizma-soobshestvaprotiv-obshestva-v-evrop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o.lnu.edu.ua/employee/turmys-n-v" TargetMode="External"/><Relationship Id="rId12" Type="http://schemas.openxmlformats.org/officeDocument/2006/relationships/hyperlink" Target="https://rauresearch.wordpress.com/2012/02/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turmys@lnu.edu.ua" TargetMode="External"/><Relationship Id="rId11" Type="http://schemas.openxmlformats.org/officeDocument/2006/relationships/hyperlink" Target="http://laws-lois.justice.gc.ca/acts/c-18.7/page-1.html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un.org/ru/documents/char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tzone.in.ua/index.php?id=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11390</Words>
  <Characters>6493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2021-02-11T02:19:00Z</dcterms:created>
  <dcterms:modified xsi:type="dcterms:W3CDTF">2021-02-12T09:34:00Z</dcterms:modified>
</cp:coreProperties>
</file>